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应急管理局2024年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年12月31日止。本年度报告的电子版，可以通过哈尔滨市人民政府门户网站→政府信息公开专栏查阅，网址为http://www.hrbfz.gov.cn/fzx/c112252/zfxxgklby_nb.shtml如对本报告有疑问，请联系方正县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文史馆综合楼四楼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0451-57116616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2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方正县应急管理</w:t>
      </w:r>
      <w:r>
        <w:rPr>
          <w:rFonts w:hint="eastAsia" w:ascii="仿宋" w:hAnsi="仿宋" w:eastAsia="仿宋" w:cs="仿宋"/>
          <w:sz w:val="32"/>
          <w:szCs w:val="32"/>
        </w:rPr>
        <w:t>局紧紧围绕我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县生产安全</w:t>
      </w:r>
      <w:r>
        <w:rPr>
          <w:rFonts w:hint="eastAsia" w:ascii="仿宋" w:hAnsi="仿宋" w:eastAsia="仿宋" w:cs="仿宋"/>
          <w:sz w:val="32"/>
          <w:szCs w:val="32"/>
        </w:rPr>
        <w:t>中心工作，持续推进政务公开，打造高效透明营商环境；围绕重点工作任务，加强政策解读和回应关切；结合自身工作职责，推进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应急行业</w:t>
      </w:r>
      <w:r>
        <w:rPr>
          <w:rFonts w:hint="eastAsia" w:ascii="仿宋" w:hAnsi="仿宋" w:eastAsia="仿宋" w:cs="仿宋"/>
          <w:sz w:val="32"/>
          <w:szCs w:val="32"/>
        </w:rPr>
        <w:t>领域信息公开；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全年度主动公开事项共计23项，其中行政许可事项17项，行政处罚事项6项。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2" w:firstLineChars="200"/>
        <w:jc w:val="both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方正县应急管理局在2024年没有涉及依申请公开的有关事项。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2" w:firstLineChars="200"/>
        <w:jc w:val="both"/>
        <w:rPr>
          <w:rFonts w:hint="default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  <w:t>（三）政府信息管理方面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严格执行政府信息发布保密审查制度，严格按照制度进行媒体信息公开，坚持“以公开为常态，不公开为例外”的原则，主动公开事项及时在县政府门户网站进行公开公示。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2" w:firstLineChars="200"/>
        <w:jc w:val="both"/>
        <w:rPr>
          <w:rFonts w:hint="default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，方正县应急管理局依托县政府门户网站和微信公众号“方正县应急管理局”由专人负责发布应急局重点工作动态信息、安全生产等，及时回应社会公众关切，努力满足人民群众获取和利用公共信息资源的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82" w:firstLineChars="200"/>
        <w:jc w:val="both"/>
        <w:rPr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  <w:t>五）监督保障方面。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建立常态化监督检查机制，切实提高政务公开时效。密切配合相关部门抽查检查工作，对发现的问题第一时间整改到位，对各项问题逐项核实，整改落实。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10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500"/>
        <w:gridCol w:w="2500"/>
        <w:gridCol w:w="2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楷体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（一）存在的主要问题。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信息公开的主动性不强，信息公开数量有待提高。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仿宋_GB2312" w:hAnsi="仿宋_GB2312" w:eastAsia="楷体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（二）具体的改进情况。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建立应急局政府信息发布协调联动机制，由各职能科室将需要发布的信息主动报送至办公室，在信息形成当周完成发布。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没有收取任何涉及政府信息公开申请的费用。</w:t>
      </w: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00A079A"/>
    <w:rsid w:val="0E004049"/>
    <w:rsid w:val="14576441"/>
    <w:rsid w:val="19F75FE7"/>
    <w:rsid w:val="1DBB430B"/>
    <w:rsid w:val="1E256E7D"/>
    <w:rsid w:val="21718D1D"/>
    <w:rsid w:val="23C22277"/>
    <w:rsid w:val="29143B49"/>
    <w:rsid w:val="297D429D"/>
    <w:rsid w:val="2BB83987"/>
    <w:rsid w:val="39181A3A"/>
    <w:rsid w:val="410B7070"/>
    <w:rsid w:val="43FC64B9"/>
    <w:rsid w:val="52946161"/>
    <w:rsid w:val="58F57E4A"/>
    <w:rsid w:val="5C031DC6"/>
    <w:rsid w:val="5CBF36DF"/>
    <w:rsid w:val="5E146C58"/>
    <w:rsid w:val="5ECB77FB"/>
    <w:rsid w:val="5F750196"/>
    <w:rsid w:val="646376C3"/>
    <w:rsid w:val="69384FB0"/>
    <w:rsid w:val="6DDB5568"/>
    <w:rsid w:val="6E7E0126"/>
    <w:rsid w:val="6FD84D46"/>
    <w:rsid w:val="70D605B1"/>
    <w:rsid w:val="77BFB88B"/>
    <w:rsid w:val="7AAD4830"/>
    <w:rsid w:val="7B3FA6A6"/>
    <w:rsid w:val="7D7D6944"/>
    <w:rsid w:val="7DAC2CA5"/>
    <w:rsid w:val="9B0FECFD"/>
    <w:rsid w:val="BDFC9B54"/>
    <w:rsid w:val="F5FFC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1527</Words>
  <Characters>1648</Characters>
  <Lines>0</Lines>
  <Paragraphs>0</Paragraphs>
  <TotalTime>109</TotalTime>
  <ScaleCrop>false</ScaleCrop>
  <LinksUpToDate>false</LinksUpToDate>
  <CharactersWithSpaces>1648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2021-12-30T18:39:00Z</dcterms:created>
  <dc:creator>Administrator</dc:creator>
  <cp:lastModifiedBy>greatwall</cp:lastModifiedBy>
  <cp:lastPrinted>2024-12-28T00:01:00Z</cp:lastPrinted>
  <dcterms:modified xsi:type="dcterms:W3CDTF">2025-01-14T10:41:27Z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BF8821FDB93D42B9B504A948D3CBD4E4</vt:lpwstr>
  </property>
  <property fmtid="{D5CDD505-2E9C-101B-9397-08002B2CF9AE}" pid="4" name="KSOTemplateDocerSaveRecord">
    <vt:lpwstr>eyJoZGlkIjoiMzMzMjIzZDExYjkxNTM1MjUwNDU2NDI4MDI3YTliY2EifQ==</vt:lpwstr>
  </property>
</Properties>
</file>