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28599">
      <w:pPr>
        <w:numPr>
          <w:ilvl w:val="0"/>
          <w:numId w:val="0"/>
        </w:numPr>
        <w:spacing w:line="560" w:lineRule="exact"/>
        <w:ind w:firstLine="880" w:firstLineChars="20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方正县</w:t>
      </w:r>
      <w:r>
        <w:rPr>
          <w:rFonts w:hint="eastAsia" w:ascii="方正小标宋简体" w:hAnsi="方正小标宋简体" w:eastAsia="方正小标宋简体" w:cs="方正小标宋简体"/>
          <w:sz w:val="44"/>
          <w:szCs w:val="44"/>
        </w:rPr>
        <w:t>市场监督管理</w:t>
      </w:r>
      <w:r>
        <w:rPr>
          <w:rFonts w:hint="eastAsia" w:ascii="方正小标宋简体" w:hAnsi="方正小标宋简体" w:eastAsia="方正小标宋简体" w:cs="方正小标宋简体"/>
          <w:color w:val="auto"/>
          <w:sz w:val="44"/>
          <w:szCs w:val="44"/>
          <w:lang w:val="en-US" w:eastAsia="zh-CN"/>
        </w:rPr>
        <w:t>局202</w:t>
      </w:r>
      <w:r>
        <w:rPr>
          <w:rFonts w:hint="default" w:ascii="方正小标宋简体" w:hAnsi="方正小标宋简体" w:eastAsia="方正小标宋简体" w:cs="方正小标宋简体"/>
          <w:color w:val="auto"/>
          <w:sz w:val="44"/>
          <w:szCs w:val="44"/>
          <w:lang w:val="en" w:eastAsia="zh-CN"/>
        </w:rPr>
        <w:t>4</w:t>
      </w:r>
      <w:r>
        <w:rPr>
          <w:rFonts w:hint="eastAsia" w:ascii="方正小标宋简体" w:hAnsi="方正小标宋简体" w:eastAsia="方正小标宋简体" w:cs="方正小标宋简体"/>
          <w:color w:val="auto"/>
          <w:sz w:val="44"/>
          <w:szCs w:val="44"/>
          <w:lang w:val="en-US" w:eastAsia="zh-CN"/>
        </w:rPr>
        <w:t>年</w:t>
      </w:r>
    </w:p>
    <w:p w14:paraId="2CD8AA86">
      <w:pPr>
        <w:numPr>
          <w:ilvl w:val="0"/>
          <w:numId w:val="0"/>
        </w:numPr>
        <w:spacing w:line="560" w:lineRule="exact"/>
        <w:ind w:firstLine="880" w:firstLineChars="20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政府信息公开工作年度报告</w:t>
      </w:r>
    </w:p>
    <w:p w14:paraId="587BF4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依据《中华人民共和国政府信息公开条例》（中华人民共和国国务院令第711号，以下简称《条例》）的规定和国务院办公厅政府信息与政务公开办公室关于印发《中华人民共和国政府信息公开工作年度报告格式》的通知（国办公开办函〔2021〕30号，以下简称《通知》）有关规定，在认真总结</w:t>
      </w:r>
      <w:r>
        <w:rPr>
          <w:rFonts w:hint="default" w:ascii="仿宋_GB2312" w:hAnsi="仿宋_GB2312" w:cs="仿宋_GB2312"/>
          <w:sz w:val="32"/>
          <w:szCs w:val="32"/>
          <w:lang w:val="en" w:eastAsia="zh-CN"/>
        </w:rPr>
        <w:t>2024</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方正</w:t>
      </w:r>
      <w:r>
        <w:rPr>
          <w:rFonts w:hint="eastAsia" w:ascii="仿宋_GB2312" w:hAnsi="仿宋_GB2312" w:eastAsia="仿宋_GB2312" w:cs="仿宋_GB2312"/>
          <w:i w:val="0"/>
          <w:iCs w:val="0"/>
          <w:caps w:val="0"/>
          <w:color w:val="auto"/>
          <w:spacing w:val="0"/>
          <w:sz w:val="32"/>
          <w:szCs w:val="32"/>
          <w:shd w:val="clear" w:color="auto" w:fill="FFFFFF"/>
          <w:lang w:eastAsia="zh-CN"/>
        </w:rPr>
        <w:t>县</w:t>
      </w:r>
      <w:r>
        <w:rPr>
          <w:rFonts w:hint="eastAsia" w:ascii="仿宋_GB2312" w:hAnsi="仿宋_GB2312" w:cs="仿宋_GB2312"/>
          <w:i w:val="0"/>
          <w:iCs w:val="0"/>
          <w:caps w:val="0"/>
          <w:color w:val="auto"/>
          <w:spacing w:val="0"/>
          <w:sz w:val="32"/>
          <w:szCs w:val="32"/>
          <w:shd w:val="clear" w:color="auto" w:fill="FFFFFF"/>
          <w:lang w:val="en-US" w:eastAsia="zh-CN"/>
        </w:rPr>
        <w:t>市场监督管理</w:t>
      </w:r>
      <w:r>
        <w:rPr>
          <w:rFonts w:hint="eastAsia" w:ascii="仿宋_GB2312" w:hAnsi="仿宋_GB2312" w:eastAsia="仿宋_GB2312" w:cs="仿宋_GB2312"/>
          <w:i w:val="0"/>
          <w:iCs w:val="0"/>
          <w:caps w:val="0"/>
          <w:color w:val="auto"/>
          <w:spacing w:val="0"/>
          <w:sz w:val="32"/>
          <w:szCs w:val="32"/>
          <w:shd w:val="clear" w:color="auto" w:fill="FFFFFF"/>
          <w:lang w:val="en-US" w:eastAsia="zh-CN"/>
        </w:rPr>
        <w:t>局</w:t>
      </w:r>
      <w:r>
        <w:rPr>
          <w:rFonts w:hint="eastAsia" w:ascii="仿宋_GB2312" w:hAnsi="仿宋_GB2312" w:eastAsia="仿宋_GB2312" w:cs="仿宋_GB2312"/>
          <w:sz w:val="32"/>
          <w:szCs w:val="32"/>
          <w:lang w:val="en-US" w:eastAsia="zh-CN"/>
        </w:rPr>
        <w:t>政府信息公开工作的基础上，编制了此报告。报告中所列数据统计期限自</w:t>
      </w:r>
      <w:r>
        <w:rPr>
          <w:rFonts w:hint="default" w:ascii="仿宋_GB2312" w:hAnsi="仿宋_GB2312" w:cs="仿宋_GB2312"/>
          <w:sz w:val="32"/>
          <w:szCs w:val="32"/>
          <w:lang w:val="en" w:eastAsia="zh-CN"/>
        </w:rPr>
        <w:t>2024</w:t>
      </w:r>
      <w:r>
        <w:rPr>
          <w:rFonts w:hint="eastAsia" w:ascii="仿宋_GB2312" w:hAnsi="仿宋_GB2312" w:eastAsia="仿宋_GB2312" w:cs="仿宋_GB2312"/>
          <w:sz w:val="32"/>
          <w:szCs w:val="32"/>
          <w:lang w:val="en-US" w:eastAsia="zh-CN"/>
        </w:rPr>
        <w:t>年1月1日起至</w:t>
      </w:r>
      <w:r>
        <w:rPr>
          <w:rFonts w:hint="default" w:ascii="仿宋_GB2312" w:hAnsi="仿宋_GB2312" w:cs="仿宋_GB2312"/>
          <w:sz w:val="32"/>
          <w:szCs w:val="32"/>
          <w:lang w:val="en" w:eastAsia="zh-CN"/>
        </w:rPr>
        <w:t>2024</w:t>
      </w:r>
      <w:r>
        <w:rPr>
          <w:rFonts w:hint="eastAsia" w:ascii="仿宋_GB2312" w:hAnsi="仿宋_GB2312" w:eastAsia="仿宋_GB2312" w:cs="仿宋_GB2312"/>
          <w:sz w:val="32"/>
          <w:szCs w:val="32"/>
          <w:lang w:val="en-US" w:eastAsia="zh-CN"/>
        </w:rPr>
        <w:t>年12月31日止。本年度报告的电子版，可以通过哈尔滨市人民政府门户网站→政府信息公开专栏查阅，网址为http://www.hrbfz.gov.cn/fzx/c112252/zfxxgklby_nb.shtml如对本报告有疑问，请联系方正县</w:t>
      </w:r>
      <w:r>
        <w:rPr>
          <w:rFonts w:hint="eastAsia" w:ascii="仿宋_GB2312" w:hAnsi="仿宋_GB2312" w:cs="仿宋_GB2312"/>
          <w:sz w:val="32"/>
          <w:szCs w:val="32"/>
          <w:lang w:val="en-US" w:eastAsia="zh-CN"/>
        </w:rPr>
        <w:t>市场监督管理</w:t>
      </w:r>
      <w:r>
        <w:rPr>
          <w:rFonts w:hint="eastAsia" w:ascii="仿宋_GB2312" w:hAnsi="仿宋_GB2312" w:eastAsia="仿宋_GB2312" w:cs="仿宋_GB2312"/>
          <w:i w:val="0"/>
          <w:iCs w:val="0"/>
          <w:caps w:val="0"/>
          <w:color w:val="auto"/>
          <w:spacing w:val="0"/>
          <w:sz w:val="32"/>
          <w:szCs w:val="32"/>
          <w:shd w:val="clear" w:color="auto" w:fill="FFFFFF"/>
          <w:lang w:val="en-US" w:eastAsia="zh-CN"/>
        </w:rPr>
        <w:t>局</w:t>
      </w:r>
      <w:r>
        <w:rPr>
          <w:rFonts w:hint="eastAsia" w:ascii="仿宋_GB2312" w:hAnsi="仿宋_GB2312" w:eastAsia="仿宋_GB2312" w:cs="仿宋_GB2312"/>
          <w:sz w:val="32"/>
          <w:szCs w:val="32"/>
          <w:lang w:val="en-US" w:eastAsia="zh-CN"/>
        </w:rPr>
        <w:t>，地址：</w:t>
      </w:r>
      <w:r>
        <w:rPr>
          <w:rFonts w:hint="eastAsia" w:ascii="仿宋_GB2312" w:hAnsi="仿宋_GB2312" w:eastAsia="仿宋_GB2312" w:cs="仿宋_GB2312"/>
          <w:sz w:val="32"/>
          <w:szCs w:val="32"/>
        </w:rPr>
        <w:t>方正县物华街67号，邮编：150800，电话：0451-57118814。</w:t>
      </w:r>
    </w:p>
    <w:p w14:paraId="0FADE2C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firstLine="640" w:firstLineChars="200"/>
        <w:jc w:val="both"/>
        <w:rPr>
          <w:rFonts w:hint="eastAsia" w:ascii="黑体" w:hAnsi="黑体" w:eastAsia="黑体" w:cs="黑体"/>
          <w:b w:val="0"/>
          <w:bCs w:val="0"/>
          <w:i w:val="0"/>
          <w:iCs w:val="0"/>
          <w:caps w:val="0"/>
          <w:color w:val="auto"/>
          <w:spacing w:val="0"/>
          <w:sz w:val="32"/>
          <w:szCs w:val="32"/>
          <w:shd w:val="clear" w:color="auto" w:fill="FFFFFF"/>
        </w:rPr>
      </w:pPr>
      <w:r>
        <w:rPr>
          <w:rFonts w:hint="eastAsia" w:ascii="黑体" w:hAnsi="黑体" w:eastAsia="黑体" w:cs="黑体"/>
          <w:b w:val="0"/>
          <w:bCs w:val="0"/>
          <w:i w:val="0"/>
          <w:iCs w:val="0"/>
          <w:caps w:val="0"/>
          <w:color w:val="auto"/>
          <w:spacing w:val="0"/>
          <w:sz w:val="32"/>
          <w:szCs w:val="32"/>
          <w:shd w:val="clear" w:color="auto" w:fill="FFFFFF"/>
          <w:lang w:eastAsia="zh-CN"/>
        </w:rPr>
        <w:t>一、</w:t>
      </w:r>
      <w:r>
        <w:rPr>
          <w:rFonts w:hint="eastAsia" w:ascii="黑体" w:hAnsi="黑体" w:eastAsia="黑体" w:cs="黑体"/>
          <w:b w:val="0"/>
          <w:bCs w:val="0"/>
          <w:i w:val="0"/>
          <w:iCs w:val="0"/>
          <w:caps w:val="0"/>
          <w:color w:val="auto"/>
          <w:spacing w:val="0"/>
          <w:sz w:val="32"/>
          <w:szCs w:val="32"/>
          <w:shd w:val="clear" w:color="auto" w:fill="FFFFFF"/>
        </w:rPr>
        <w:t>总体情况</w:t>
      </w:r>
    </w:p>
    <w:p w14:paraId="55BFB04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方正县市场监督管理局认真贯彻落实《中华人民共和国政府信息公开条例》《国务院办公厅关于全面推进基层政务公开标准化规范化工作的指导意见》，不断创新政务公开方式方法，发挥政务公开促落实、促规范、促服务、促治理能力提升的功能，不断提高我市市场监管部门的执行力和公信力，为法治政府建设、营商环境优化提供有力支撑。</w:t>
      </w:r>
    </w:p>
    <w:p w14:paraId="39C842DA">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color="auto" w:fill="FFFFFF"/>
          <w:lang w:eastAsia="zh-CN"/>
        </w:rPr>
        <w:t>主动公开方面</w:t>
      </w:r>
    </w:p>
    <w:p w14:paraId="5A0A78D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2024年，我局在政府网站上共计发布市场监管工作信息24余条。发布关于食品药品安全领域工作提示、许可注销等，在网站开设食品安全宣传专栏，满足群众集中获取相关政策及科普知识的需求。</w:t>
      </w:r>
    </w:p>
    <w:p w14:paraId="62D61749">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420" w:firstLineChars="0"/>
        <w:jc w:val="both"/>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t>依申请公开方面</w:t>
      </w:r>
    </w:p>
    <w:p w14:paraId="346847B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2024年度未接到群众公开申请。</w:t>
      </w:r>
    </w:p>
    <w:p w14:paraId="7E8FBD36">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firstLine="420" w:firstLineChars="0"/>
        <w:jc w:val="both"/>
        <w:rPr>
          <w:rFonts w:hint="eastAsia" w:ascii="楷体_GB2312" w:hAnsi="楷体_GB2312" w:eastAsia="楷体_GB2312" w:cs="楷体_GB2312"/>
          <w:b w:val="0"/>
          <w:bCs w:val="0"/>
          <w:color w:val="auto"/>
          <w:spacing w:val="10"/>
          <w:kern w:val="0"/>
          <w:sz w:val="32"/>
          <w:szCs w:val="32"/>
          <w:lang w:eastAsia="zh-CN"/>
        </w:rPr>
      </w:pPr>
      <w:r>
        <w:rPr>
          <w:rFonts w:hint="eastAsia" w:ascii="楷体_GB2312" w:hAnsi="楷体_GB2312" w:eastAsia="楷体_GB2312" w:cs="楷体_GB2312"/>
          <w:b w:val="0"/>
          <w:bCs w:val="0"/>
          <w:color w:val="auto"/>
          <w:spacing w:val="10"/>
          <w:kern w:val="0"/>
          <w:sz w:val="32"/>
          <w:szCs w:val="32"/>
          <w:lang w:eastAsia="zh-CN"/>
        </w:rPr>
        <w:t>政府信息管理方面</w:t>
      </w:r>
    </w:p>
    <w:p w14:paraId="1479F67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确保方正县市场监督管理局政府信息公开标准和规范，根据本单位实际情况，调整充实局政务公开工作领导小组，修订了完善政府信息公开工作制度，强化保密审查责任落实，细化依申请公开答复规范。落实政务公开工作责任制，确保信息公开工作合法合规，及时全面。</w:t>
      </w:r>
    </w:p>
    <w:p w14:paraId="0E3D2090">
      <w:pPr>
        <w:keepNext w:val="0"/>
        <w:keepLines w:val="0"/>
        <w:widowControl/>
        <w:numPr>
          <w:ilvl w:val="0"/>
          <w:numId w:val="1"/>
        </w:numPr>
        <w:suppressLineNumbers w:val="0"/>
        <w:ind w:left="0" w:leftChars="0" w:firstLine="420" w:firstLineChars="0"/>
        <w:jc w:val="left"/>
        <w:rPr>
          <w:rFonts w:hint="eastAsia" w:ascii="楷体_GB2312" w:hAnsi="楷体_GB2312" w:eastAsia="楷体_GB2312" w:cs="楷体_GB2312"/>
          <w:b w:val="0"/>
          <w:bCs w:val="0"/>
          <w:color w:val="auto"/>
          <w:spacing w:val="10"/>
          <w:kern w:val="0"/>
          <w:sz w:val="32"/>
          <w:szCs w:val="32"/>
          <w:lang w:val="en-US" w:eastAsia="zh-CN"/>
        </w:rPr>
      </w:pPr>
      <w:r>
        <w:rPr>
          <w:rFonts w:hint="eastAsia" w:ascii="楷体_GB2312" w:hAnsi="楷体_GB2312" w:eastAsia="楷体_GB2312" w:cs="楷体_GB2312"/>
          <w:b w:val="0"/>
          <w:bCs w:val="0"/>
          <w:color w:val="auto"/>
          <w:spacing w:val="10"/>
          <w:kern w:val="0"/>
          <w:sz w:val="32"/>
          <w:szCs w:val="32"/>
          <w:lang w:val="en-US" w:eastAsia="zh-CN"/>
        </w:rPr>
        <w:t>平台建设方面</w:t>
      </w:r>
    </w:p>
    <w:p w14:paraId="440A5A4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firstLine="640" w:firstLineChars="2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2024年，方正县</w:t>
      </w:r>
      <w:r>
        <w:rPr>
          <w:rFonts w:hint="default" w:ascii="仿宋_GB2312" w:hAnsi="仿宋_GB2312" w:eastAsia="仿宋_GB2312" w:cs="仿宋_GB2312"/>
          <w:kern w:val="2"/>
          <w:sz w:val="32"/>
          <w:szCs w:val="32"/>
          <w:lang w:val="en-US" w:eastAsia="zh-CN" w:bidi="ar-SA"/>
        </w:rPr>
        <w:t>市场监督管理局加强政府信息公开栏目内容维护与管理，将栏目内容保障责任落实到具体股室，对检查出的问题及时整改，确保网站信息公开目录内容发布准确、权威、及时、高效、便民。积极参与构建整体联动、协同发声的政务新媒体矩阵，按月对媒体发布信息情况进行登记统计，切实做到报送政务新媒体的信息进出有序、有底可查。</w:t>
      </w:r>
    </w:p>
    <w:p w14:paraId="0914A727">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firstLine="420" w:firstLineChars="0"/>
        <w:jc w:val="both"/>
        <w:rPr>
          <w:rFonts w:hint="eastAsia" w:ascii="楷体_GB2312" w:hAnsi="楷体_GB2312" w:eastAsia="楷体_GB2312" w:cs="楷体_GB2312"/>
          <w:b w:val="0"/>
          <w:bCs w:val="0"/>
          <w:color w:val="auto"/>
          <w:spacing w:val="10"/>
          <w:kern w:val="0"/>
          <w:sz w:val="32"/>
          <w:szCs w:val="32"/>
          <w:lang w:val="en-US" w:eastAsia="zh-CN"/>
        </w:rPr>
      </w:pPr>
      <w:r>
        <w:rPr>
          <w:rFonts w:hint="eastAsia" w:ascii="楷体_GB2312" w:hAnsi="楷体_GB2312" w:eastAsia="楷体_GB2312" w:cs="楷体_GB2312"/>
          <w:b w:val="0"/>
          <w:bCs w:val="0"/>
          <w:color w:val="auto"/>
          <w:spacing w:val="10"/>
          <w:kern w:val="0"/>
          <w:sz w:val="32"/>
          <w:szCs w:val="32"/>
          <w:lang w:val="en-US" w:eastAsia="zh-CN"/>
        </w:rPr>
        <w:t>监督保障方面</w:t>
      </w:r>
    </w:p>
    <w:p w14:paraId="226D731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局主要领导主持召开全局职工大会，听取政务公开工作汇报，要求提高政治站位、提升公开质量、压实工作责任，进一步强化政务公开工作能力建设和组织保障。</w:t>
      </w:r>
    </w:p>
    <w:p w14:paraId="7C6B33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color="auto" w:fill="FFFFFF"/>
        </w:rPr>
        <w:t>二、主动公开政府信息情况</w:t>
      </w:r>
    </w:p>
    <w:tbl>
      <w:tblPr>
        <w:tblStyle w:val="3"/>
        <w:tblW w:w="10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10"/>
        <w:gridCol w:w="2510"/>
        <w:gridCol w:w="2510"/>
        <w:gridCol w:w="2510"/>
      </w:tblGrid>
      <w:tr w14:paraId="4C319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14:paraId="6047C740">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第二十条第（一）项</w:t>
            </w:r>
          </w:p>
        </w:tc>
      </w:tr>
      <w:tr w14:paraId="19A13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4FAC315C">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信息内容</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0CF7B22A">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本年制发件数</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6D20A1F9">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本年废止件数</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5231489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现行有效件数</w:t>
            </w:r>
          </w:p>
        </w:tc>
      </w:tr>
      <w:tr w14:paraId="0E995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69DE60A1">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规章</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7EB68752">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53FB19A1">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4A7E4F77">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2CA0F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207FE8BA">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行政规范性文件</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7C50542D">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6DD9FF4F">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69C2A4BD">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38BD5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14:paraId="471FFB05">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第二十条第（五）项</w:t>
            </w:r>
          </w:p>
        </w:tc>
      </w:tr>
      <w:tr w14:paraId="29145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711D87C3">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384B31F">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本年处理决定数量</w:t>
            </w:r>
          </w:p>
        </w:tc>
      </w:tr>
      <w:tr w14:paraId="21DCA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6B2E8516">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行政许可</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365B85B">
            <w:pPr>
              <w:jc w:val="center"/>
              <w:rPr>
                <w:rFonts w:hint="default" w:ascii="Times New Roman" w:hAnsi="Times New Roman" w:eastAsia="宋体" w:cs="Times New Roman"/>
                <w:i w:val="0"/>
                <w:iCs w:val="0"/>
                <w:color w:val="000000"/>
                <w:sz w:val="32"/>
                <w:szCs w:val="32"/>
                <w:u w:val="none"/>
                <w:lang w:val="en-US" w:eastAsia="zh-CN"/>
              </w:rPr>
            </w:pPr>
            <w:r>
              <w:rPr>
                <w:rFonts w:hint="eastAsia" w:ascii="仿宋_GB2312" w:hAnsi="仿宋_GB2312" w:eastAsia="仿宋_GB2312" w:cs="仿宋_GB2312"/>
                <w:kern w:val="2"/>
                <w:sz w:val="32"/>
                <w:szCs w:val="32"/>
                <w:lang w:val="en-US" w:eastAsia="zh-CN" w:bidi="ar-SA"/>
              </w:rPr>
              <w:t>1323</w:t>
            </w:r>
          </w:p>
        </w:tc>
      </w:tr>
      <w:tr w14:paraId="086B7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14:paraId="120BD984">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第二十条第（六）项</w:t>
            </w:r>
          </w:p>
        </w:tc>
      </w:tr>
      <w:tr w14:paraId="49E68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263C270C">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30C58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本年处理决定数量</w:t>
            </w:r>
          </w:p>
        </w:tc>
      </w:tr>
      <w:tr w14:paraId="199AE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559EC0FF">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行政处罚</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0784BB">
            <w:pPr>
              <w:jc w:val="center"/>
              <w:rPr>
                <w:rFonts w:hint="default" w:ascii="Times New Roman" w:hAnsi="Times New Roman" w:eastAsia="宋体" w:cs="Times New Roman"/>
                <w:i w:val="0"/>
                <w:iCs w:val="0"/>
                <w:color w:val="000000"/>
                <w:sz w:val="32"/>
                <w:szCs w:val="32"/>
                <w:u w:val="none"/>
                <w:lang w:val="en-US" w:eastAsia="zh-CN"/>
              </w:rPr>
            </w:pPr>
            <w:r>
              <w:rPr>
                <w:rFonts w:hint="eastAsia" w:ascii="仿宋_GB2312" w:hAnsi="仿宋_GB2312" w:eastAsia="仿宋_GB2312" w:cs="仿宋_GB2312"/>
                <w:kern w:val="2"/>
                <w:sz w:val="32"/>
                <w:szCs w:val="32"/>
                <w:lang w:val="en-US" w:eastAsia="zh-CN" w:bidi="ar-SA"/>
              </w:rPr>
              <w:t>126</w:t>
            </w:r>
          </w:p>
        </w:tc>
      </w:tr>
      <w:tr w14:paraId="77EDB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79ADB4A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725099">
            <w:pPr>
              <w:jc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27422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14:paraId="4CE7D663">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第二十条第（八）项</w:t>
            </w:r>
          </w:p>
        </w:tc>
      </w:tr>
      <w:tr w14:paraId="5E2EB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12F7F076">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A7E478">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本年收费金额（单位：万元）</w:t>
            </w:r>
          </w:p>
        </w:tc>
      </w:tr>
      <w:tr w14:paraId="1AF69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321F30C1">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行政事业性收费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D0DB8A">
            <w:pPr>
              <w:jc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bl>
    <w:p w14:paraId="15D09C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center"/>
        <w:rPr>
          <w:rFonts w:hint="eastAsia" w:ascii="宋体" w:hAnsi="宋体" w:eastAsia="宋体" w:cs="宋体"/>
          <w:color w:val="auto"/>
        </w:rPr>
      </w:pPr>
    </w:p>
    <w:p w14:paraId="4E0072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420" w:lineRule="atLeast"/>
        <w:ind w:right="0" w:firstLine="640" w:firstLineChars="200"/>
        <w:jc w:val="left"/>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color="auto" w:fill="FFFFFF"/>
        </w:rPr>
        <w:t>三、收到和处理政府信息公开申请情况</w:t>
      </w:r>
    </w:p>
    <w:tbl>
      <w:tblPr>
        <w:tblStyle w:val="3"/>
        <w:tblpPr w:leftFromText="180" w:rightFromText="180" w:vertAnchor="text" w:horzAnchor="page" w:tblpX="1264" w:tblpY="571"/>
        <w:tblOverlap w:val="never"/>
        <w:tblW w:w="9750" w:type="dxa"/>
        <w:tblInd w:w="0" w:type="dxa"/>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Layout w:type="autofit"/>
        <w:tblCellMar>
          <w:top w:w="0" w:type="dxa"/>
          <w:left w:w="0" w:type="dxa"/>
          <w:bottom w:w="0" w:type="dxa"/>
          <w:right w:w="0" w:type="dxa"/>
        </w:tblCellMar>
      </w:tblPr>
      <w:tblGrid>
        <w:gridCol w:w="759"/>
        <w:gridCol w:w="941"/>
        <w:gridCol w:w="3206"/>
        <w:gridCol w:w="692"/>
        <w:gridCol w:w="692"/>
        <w:gridCol w:w="692"/>
        <w:gridCol w:w="692"/>
        <w:gridCol w:w="692"/>
        <w:gridCol w:w="692"/>
        <w:gridCol w:w="692"/>
      </w:tblGrid>
      <w:tr w14:paraId="707053C0">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PrEx>
        <w:tc>
          <w:tcPr>
            <w:tcW w:w="4906" w:type="dxa"/>
            <w:gridSpan w:val="3"/>
            <w:vMerge w:val="restart"/>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3A5B0A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楷体" w:hAnsi="楷体" w:eastAsia="楷体" w:cs="楷体"/>
                <w:color w:val="auto"/>
                <w:sz w:val="21"/>
                <w:szCs w:val="21"/>
              </w:rPr>
              <w:t>（本列数据的勾稽关系为：第一项加第二项之和，等于第三项加第四项之和）</w:t>
            </w:r>
          </w:p>
        </w:tc>
        <w:tc>
          <w:tcPr>
            <w:tcW w:w="4844" w:type="dxa"/>
            <w:gridSpan w:val="7"/>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3938F3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申请人情况</w:t>
            </w:r>
          </w:p>
        </w:tc>
      </w:tr>
      <w:tr w14:paraId="3169B663">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continue"/>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36DBD4EF">
            <w:pPr>
              <w:rPr>
                <w:rFonts w:hint="eastAsia" w:ascii="宋体"/>
                <w:color w:val="auto"/>
                <w:sz w:val="21"/>
                <w:szCs w:val="21"/>
              </w:rPr>
            </w:pPr>
          </w:p>
        </w:tc>
        <w:tc>
          <w:tcPr>
            <w:tcW w:w="692" w:type="dxa"/>
            <w:vMerge w:val="restart"/>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C4744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自然人</w:t>
            </w:r>
          </w:p>
        </w:tc>
        <w:tc>
          <w:tcPr>
            <w:tcW w:w="3460" w:type="dxa"/>
            <w:gridSpan w:val="5"/>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2BEA82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法人或其他组织</w:t>
            </w:r>
          </w:p>
        </w:tc>
        <w:tc>
          <w:tcPr>
            <w:tcW w:w="692" w:type="dxa"/>
            <w:vMerge w:val="restart"/>
            <w:tcBorders>
              <w:top w:val="single" w:color="auto" w:sz="6" w:space="0"/>
              <w:left w:val="nil"/>
              <w:bottom w:val="outset" w:color="auto" w:sz="6" w:space="0"/>
              <w:right w:val="single" w:color="auto" w:sz="6" w:space="0"/>
            </w:tcBorders>
            <w:noWrap w:val="0"/>
            <w:tcMar>
              <w:top w:w="0" w:type="dxa"/>
              <w:left w:w="60" w:type="dxa"/>
              <w:bottom w:w="0" w:type="dxa"/>
              <w:right w:w="60" w:type="dxa"/>
            </w:tcMar>
            <w:vAlign w:val="center"/>
          </w:tcPr>
          <w:p w14:paraId="52F67F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总计</w:t>
            </w:r>
          </w:p>
        </w:tc>
      </w:tr>
      <w:tr w14:paraId="382BAB11">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continue"/>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72A8F922">
            <w:pPr>
              <w:rPr>
                <w:rFonts w:hint="eastAsia" w:ascii="宋体"/>
                <w:color w:val="auto"/>
                <w:sz w:val="21"/>
                <w:szCs w:val="21"/>
              </w:rPr>
            </w:pPr>
          </w:p>
        </w:tc>
        <w:tc>
          <w:tcPr>
            <w:tcW w:w="692" w:type="dxa"/>
            <w:vMerge w:val="continue"/>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55C43B0">
            <w:pPr>
              <w:rPr>
                <w:rFonts w:hint="eastAsia" w:ascii="宋体"/>
                <w:color w:val="auto"/>
                <w:sz w:val="21"/>
                <w:szCs w:val="21"/>
              </w:rPr>
            </w:pP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24C66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商业</w:t>
            </w:r>
          </w:p>
          <w:p w14:paraId="4A453A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企业</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BD649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科研</w:t>
            </w:r>
          </w:p>
          <w:p w14:paraId="6B7BBA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机构</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16CFFF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社会公益组织</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476E05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法律服务机构</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1D2693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其他</w:t>
            </w:r>
          </w:p>
        </w:tc>
        <w:tc>
          <w:tcPr>
            <w:tcW w:w="692" w:type="dxa"/>
            <w:vMerge w:val="continue"/>
            <w:tcBorders>
              <w:top w:val="single" w:color="auto" w:sz="6" w:space="0"/>
              <w:left w:val="nil"/>
              <w:bottom w:val="outset" w:color="auto" w:sz="6" w:space="0"/>
              <w:right w:val="single" w:color="auto" w:sz="6" w:space="0"/>
            </w:tcBorders>
            <w:noWrap w:val="0"/>
            <w:tcMar>
              <w:top w:w="0" w:type="dxa"/>
              <w:left w:w="60" w:type="dxa"/>
              <w:bottom w:w="0" w:type="dxa"/>
              <w:right w:w="60" w:type="dxa"/>
            </w:tcMar>
            <w:vAlign w:val="center"/>
          </w:tcPr>
          <w:p w14:paraId="1CE43BBA">
            <w:pPr>
              <w:rPr>
                <w:rFonts w:hint="eastAsia" w:ascii="宋体"/>
                <w:color w:val="auto"/>
                <w:sz w:val="21"/>
                <w:szCs w:val="21"/>
              </w:rPr>
            </w:pPr>
          </w:p>
        </w:tc>
      </w:tr>
      <w:tr w14:paraId="1B0A4E6B">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09A7EE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一、本年新收政府信息公开申请数量</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2E4D09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6328EE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ABAE83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FBC015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504CD01">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2AF416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819EC8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4A5CEB2E">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198EF7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二、上年结转政府信息公开申请数量</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85EB2A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1E4C82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0BE076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9FF35C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A84AF5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871BC3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8C5EEF1">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4E4C6401">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restart"/>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03BB10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三、本年度办理结果</w:t>
            </w:r>
          </w:p>
        </w:tc>
        <w:tc>
          <w:tcPr>
            <w:tcW w:w="4147"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F928D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（一）予以公开</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94419C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C3202C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702BFC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7C7D6C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A06BFC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83F940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244023B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4D805108">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0FEF27C7">
            <w:pPr>
              <w:rPr>
                <w:rFonts w:hint="eastAsia" w:ascii="宋体"/>
                <w:color w:val="auto"/>
                <w:sz w:val="21"/>
                <w:szCs w:val="21"/>
              </w:rPr>
            </w:pPr>
          </w:p>
        </w:tc>
        <w:tc>
          <w:tcPr>
            <w:tcW w:w="4147"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87168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（二）部分公开</w:t>
            </w:r>
            <w:r>
              <w:rPr>
                <w:rFonts w:hint="eastAsia" w:ascii="楷体" w:hAnsi="楷体" w:eastAsia="楷体" w:cs="楷体"/>
                <w:color w:val="auto"/>
                <w:sz w:val="21"/>
                <w:szCs w:val="21"/>
              </w:rPr>
              <w:t>（区分处理的，只计这一情形，不计其他情形）</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16308D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E60663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B12E77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039551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E46627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C7A9403">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59EF9E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38F91C3D">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4742C030">
            <w:pPr>
              <w:rPr>
                <w:rFonts w:hint="eastAsia" w:ascii="宋体"/>
                <w:color w:val="auto"/>
                <w:sz w:val="21"/>
                <w:szCs w:val="21"/>
              </w:rPr>
            </w:pPr>
          </w:p>
        </w:tc>
        <w:tc>
          <w:tcPr>
            <w:tcW w:w="941" w:type="dxa"/>
            <w:vMerge w:val="restart"/>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4616A4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（三）不予公开</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6D3EDB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1.属于国家秘密</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5628F2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13B63A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6600F9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666A08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8091F7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6C0900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35A7BC1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50118B66">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57CABDA4">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16AFEB57">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70C70A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2.其他法律行政法规禁止公开</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566BD7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84C928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ABEC0F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0202C9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F96F3E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63692C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6E4B38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193A145D">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43425FC6">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33A3A392">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12216E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3.危及“三安全一稳定”</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5B44AE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8432C8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F25016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75F796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C0117D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EF56AD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51E0C1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7D32E2A1">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461D6D26">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72D1AF63">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12CDCF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4.保护第三方合法权益</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1A2609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DD65E41">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87D157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AE7BD2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752866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2AD05E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2662591">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5B17D2E2">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20CB74EF">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475A0B24">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4090B1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5.属于三类内部事务信息</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E45171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AA5054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61222E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EDF99A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5C2187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B64359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E56666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0C2E766D">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1449B596">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54D012F5">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687B19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6.属于四类过程性信息</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E4D564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D0E22A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E6B5C4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BC77DE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E3E41D3">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C25EA5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0778FE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6BBBB3B4">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1BF1F135">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03A535B5">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0B2406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7.属于行政执法案卷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BE49A1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40B9AA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1C8D85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435269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1E7FF3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214FF9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D8A734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630F04E7">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24143A46">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07712D6C">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4A5CF5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8.属于行政查询事项</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491BA3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B1E4BC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20F848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C06B29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4020EF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651AD8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7F6424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12149AE7">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538FD849">
            <w:pPr>
              <w:rPr>
                <w:rFonts w:hint="eastAsia" w:ascii="宋体"/>
                <w:color w:val="auto"/>
                <w:sz w:val="21"/>
                <w:szCs w:val="21"/>
              </w:rPr>
            </w:pPr>
          </w:p>
        </w:tc>
        <w:tc>
          <w:tcPr>
            <w:tcW w:w="941" w:type="dxa"/>
            <w:vMerge w:val="restart"/>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7DB8EB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（四）无法提供</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6063AB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1.本机关不掌握相关政府信息</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9AD992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1A2FE1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DA3D70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95E7AA1">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FC83B1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092D05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3A68DF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4F7D2C18">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2411A46B">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6F9E397F">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2A8768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2.没有现成信息需要另行制作</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8445DB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400AC7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CB3D14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E38F37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9E8024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1340A0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A3A4D1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3E9B883B">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461CB150">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07770A84">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7CE3A5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3.补正后申请内容仍不明确</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18D7D5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E68622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5E5FEA1">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A8A1B8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F069F6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AEA567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495374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6042D7A8">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4EC5587A">
            <w:pPr>
              <w:rPr>
                <w:rFonts w:hint="eastAsia" w:ascii="宋体"/>
                <w:color w:val="auto"/>
                <w:sz w:val="21"/>
                <w:szCs w:val="21"/>
              </w:rPr>
            </w:pPr>
          </w:p>
        </w:tc>
        <w:tc>
          <w:tcPr>
            <w:tcW w:w="941" w:type="dxa"/>
            <w:vMerge w:val="restart"/>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6DEE35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（五）不予处理</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123A35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1.信访举报投诉类申请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A81B44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4189B4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0C744A1">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D48A72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931CBB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8297FE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FB4525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0AC39C90">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4C1EE928">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2F7BB994">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25E0C4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2.重复申请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F3467D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22BDEF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741066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FD9C95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034B68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C4BBB3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E342BB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198A742D">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68A12FBB">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386849FB">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163A2C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3.要求提供公开出版物</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DF33BD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672E7D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B64620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38DA18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4D8647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109EC9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37DE07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545A21A7">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15709F07">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655D5DDC">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2127BF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4.无正当理由大量反复申请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8AE6ED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F51439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B36228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048A22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43D4E4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3B6B64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2355DC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7DB643D4">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780" w:hRule="atLeast"/>
        </w:trPr>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61191354">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7D9C28F1">
            <w:pPr>
              <w:rPr>
                <w:rFonts w:hint="eastAsia" w:ascii="宋体"/>
                <w:color w:val="auto"/>
                <w:sz w:val="21"/>
                <w:szCs w:val="21"/>
              </w:rPr>
            </w:pPr>
          </w:p>
        </w:tc>
        <w:tc>
          <w:tcPr>
            <w:tcW w:w="3206"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58CE25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rPr>
            </w:pPr>
            <w:r>
              <w:rPr>
                <w:color w:val="auto"/>
                <w:sz w:val="21"/>
                <w:szCs w:val="21"/>
              </w:rPr>
              <w:t>5.要求行政机关确认或重新出具已获取信息</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480A8AB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3A2D47B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036E2A0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23C97DE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2608409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7414DAC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6A88550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405F257A">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5C1A6FE5">
            <w:pPr>
              <w:rPr>
                <w:rFonts w:hint="eastAsia" w:ascii="宋体"/>
                <w:color w:val="auto"/>
                <w:sz w:val="21"/>
                <w:szCs w:val="21"/>
              </w:rPr>
            </w:pPr>
          </w:p>
        </w:tc>
        <w:tc>
          <w:tcPr>
            <w:tcW w:w="941" w:type="dxa"/>
            <w:vMerge w:val="restart"/>
            <w:tcBorders>
              <w:top w:val="outset" w:color="auto" w:sz="6" w:space="0"/>
              <w:left w:val="nil"/>
              <w:bottom w:val="outset" w:color="auto" w:sz="6" w:space="0"/>
              <w:right w:val="single" w:color="auto" w:sz="6" w:space="0"/>
            </w:tcBorders>
            <w:noWrap w:val="0"/>
            <w:tcMar>
              <w:top w:w="0" w:type="dxa"/>
              <w:left w:w="60" w:type="dxa"/>
              <w:bottom w:w="0" w:type="dxa"/>
              <w:right w:w="60" w:type="dxa"/>
            </w:tcMar>
            <w:vAlign w:val="center"/>
          </w:tcPr>
          <w:p w14:paraId="6CE11F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（六）其他处理</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104FE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rPr>
            </w:pPr>
            <w:r>
              <w:rPr>
                <w:rFonts w:hint="eastAsia" w:ascii="宋体" w:hAnsi="宋体" w:eastAsia="宋体" w:cs="宋体"/>
                <w:color w:val="auto"/>
                <w:sz w:val="21"/>
                <w:szCs w:val="21"/>
              </w:rPr>
              <w:t>1.申请人无正当理由逾期不补正、行政机关不再处理其政府信息公开申请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220ABB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31D02D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477E921">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A1C34F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8314D7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EF087A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DCF9A5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1073FFC7">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1D2B260C">
            <w:pPr>
              <w:rPr>
                <w:rFonts w:hint="eastAsia" w:ascii="宋体"/>
                <w:color w:val="auto"/>
                <w:sz w:val="21"/>
                <w:szCs w:val="21"/>
              </w:rPr>
            </w:pPr>
          </w:p>
        </w:tc>
        <w:tc>
          <w:tcPr>
            <w:tcW w:w="941" w:type="dxa"/>
            <w:vMerge w:val="continue"/>
            <w:tcBorders>
              <w:top w:val="outset" w:color="auto" w:sz="6" w:space="0"/>
              <w:left w:val="nil"/>
              <w:bottom w:val="outset" w:color="auto" w:sz="6" w:space="0"/>
              <w:right w:val="single" w:color="auto" w:sz="6" w:space="0"/>
            </w:tcBorders>
            <w:noWrap w:val="0"/>
            <w:tcMar>
              <w:top w:w="0" w:type="dxa"/>
              <w:left w:w="60" w:type="dxa"/>
              <w:bottom w:w="0" w:type="dxa"/>
              <w:right w:w="60" w:type="dxa"/>
            </w:tcMar>
            <w:vAlign w:val="center"/>
          </w:tcPr>
          <w:p w14:paraId="5F29EF95">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843FA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rPr>
            </w:pPr>
            <w:r>
              <w:rPr>
                <w:rFonts w:hint="eastAsia" w:ascii="宋体" w:hAnsi="宋体" w:eastAsia="宋体" w:cs="宋体"/>
                <w:color w:val="auto"/>
                <w:sz w:val="21"/>
                <w:szCs w:val="21"/>
              </w:rPr>
              <w:t>2.申请人逾期未按收费通知要求缴纳费用、行政机关不再处理其政府信息公开申请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6CC94E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93A9B7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ACD108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6137EC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53F8F6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69822B3">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6CD5A3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49B8304F">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0CDEA01F">
            <w:pPr>
              <w:rPr>
                <w:rFonts w:hint="eastAsia" w:ascii="宋体"/>
                <w:color w:val="auto"/>
                <w:sz w:val="21"/>
                <w:szCs w:val="21"/>
              </w:rPr>
            </w:pPr>
          </w:p>
        </w:tc>
        <w:tc>
          <w:tcPr>
            <w:tcW w:w="941" w:type="dxa"/>
            <w:vMerge w:val="continue"/>
            <w:tcBorders>
              <w:top w:val="outset" w:color="auto" w:sz="6" w:space="0"/>
              <w:left w:val="nil"/>
              <w:bottom w:val="outset" w:color="auto" w:sz="6" w:space="0"/>
              <w:right w:val="single" w:color="auto" w:sz="6" w:space="0"/>
            </w:tcBorders>
            <w:noWrap w:val="0"/>
            <w:tcMar>
              <w:top w:w="0" w:type="dxa"/>
              <w:left w:w="60" w:type="dxa"/>
              <w:bottom w:w="0" w:type="dxa"/>
              <w:right w:w="60" w:type="dxa"/>
            </w:tcMar>
            <w:vAlign w:val="center"/>
          </w:tcPr>
          <w:p w14:paraId="6497331A">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A4D9E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3.其他</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8001B7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AE8348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B8F215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724B58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0A47CD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181F8D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9A098D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2088C371">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0BDFAD02">
            <w:pPr>
              <w:rPr>
                <w:rFonts w:hint="eastAsia" w:ascii="宋体"/>
                <w:color w:val="auto"/>
                <w:sz w:val="21"/>
                <w:szCs w:val="21"/>
              </w:rPr>
            </w:pPr>
          </w:p>
        </w:tc>
        <w:tc>
          <w:tcPr>
            <w:tcW w:w="4147"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A90D6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（七）总计</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D8E0FB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2AD9F3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38849B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1CA7B3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99E32F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2250C0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D0C388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7C0896C6">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3C18E8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四、结转下年度继续办理</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56084F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FB9D661">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6E644F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98DD47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2A65B3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D9B36C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AB5BB5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bl>
    <w:p w14:paraId="42DD65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both"/>
        <w:rPr>
          <w:rFonts w:hint="eastAsia" w:ascii="黑体" w:hAnsi="黑体" w:eastAsia="黑体" w:cs="黑体"/>
          <w:b w:val="0"/>
          <w:bCs w:val="0"/>
          <w:i w:val="0"/>
          <w:iCs w:val="0"/>
          <w:caps w:val="0"/>
          <w:color w:val="auto"/>
          <w:spacing w:val="0"/>
          <w:sz w:val="32"/>
          <w:szCs w:val="32"/>
          <w:shd w:val="clear" w:color="auto" w:fill="FFFFFF"/>
        </w:rPr>
      </w:pPr>
      <w:r>
        <w:rPr>
          <w:rFonts w:hint="eastAsia" w:ascii="黑体" w:hAnsi="黑体" w:eastAsia="黑体" w:cs="黑体"/>
          <w:b w:val="0"/>
          <w:bCs w:val="0"/>
          <w:i w:val="0"/>
          <w:iCs w:val="0"/>
          <w:caps w:val="0"/>
          <w:color w:val="auto"/>
          <w:spacing w:val="0"/>
          <w:sz w:val="32"/>
          <w:szCs w:val="32"/>
          <w:shd w:val="clear" w:color="auto" w:fill="FFFFFF"/>
        </w:rPr>
        <w:t>四、政府信息公开行政复议、行政诉讼情况</w:t>
      </w:r>
    </w:p>
    <w:tbl>
      <w:tblPr>
        <w:tblStyle w:val="3"/>
        <w:tblpPr w:leftFromText="180" w:rightFromText="180" w:vertAnchor="text" w:horzAnchor="page" w:tblpX="1491" w:tblpY="132"/>
        <w:tblOverlap w:val="never"/>
        <w:tblW w:w="9750" w:type="dxa"/>
        <w:tblInd w:w="0" w:type="dxa"/>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Layout w:type="autofit"/>
        <w:tblCellMar>
          <w:top w:w="0" w:type="dxa"/>
          <w:left w:w="0" w:type="dxa"/>
          <w:bottom w:w="0" w:type="dxa"/>
          <w:right w:w="0" w:type="dxa"/>
        </w:tblCellMar>
      </w:tblPr>
      <w:tblGrid>
        <w:gridCol w:w="650"/>
        <w:gridCol w:w="650"/>
        <w:gridCol w:w="650"/>
        <w:gridCol w:w="650"/>
        <w:gridCol w:w="650"/>
        <w:gridCol w:w="650"/>
        <w:gridCol w:w="650"/>
        <w:gridCol w:w="650"/>
        <w:gridCol w:w="650"/>
        <w:gridCol w:w="650"/>
        <w:gridCol w:w="650"/>
        <w:gridCol w:w="650"/>
        <w:gridCol w:w="650"/>
        <w:gridCol w:w="650"/>
        <w:gridCol w:w="650"/>
      </w:tblGrid>
      <w:tr w14:paraId="71E774DD">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325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730D63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行政复议</w:t>
            </w:r>
          </w:p>
        </w:tc>
        <w:tc>
          <w:tcPr>
            <w:tcW w:w="6500" w:type="dxa"/>
            <w:gridSpan w:val="10"/>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4EED6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行政诉讼</w:t>
            </w:r>
          </w:p>
        </w:tc>
      </w:tr>
      <w:tr w14:paraId="3D8ED7B7">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650"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6C231C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结果维持</w:t>
            </w:r>
          </w:p>
        </w:tc>
        <w:tc>
          <w:tcPr>
            <w:tcW w:w="650"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581AD2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纠正</w:t>
            </w:r>
          </w:p>
        </w:tc>
        <w:tc>
          <w:tcPr>
            <w:tcW w:w="650"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5E287A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其他</w:t>
            </w:r>
            <w:r>
              <w:rPr>
                <w:color w:val="auto"/>
                <w:sz w:val="19"/>
                <w:szCs w:val="19"/>
              </w:rPr>
              <w:br w:type="textWrapping"/>
            </w:r>
            <w:r>
              <w:rPr>
                <w:rFonts w:hint="eastAsia" w:ascii="宋体" w:hAnsi="宋体" w:eastAsia="宋体" w:cs="宋体"/>
                <w:color w:val="auto"/>
                <w:sz w:val="19"/>
                <w:szCs w:val="19"/>
              </w:rPr>
              <w:t>结果</w:t>
            </w:r>
          </w:p>
        </w:tc>
        <w:tc>
          <w:tcPr>
            <w:tcW w:w="650"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35C471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尚未</w:t>
            </w:r>
            <w:r>
              <w:rPr>
                <w:color w:val="auto"/>
                <w:sz w:val="19"/>
                <w:szCs w:val="19"/>
              </w:rPr>
              <w:br w:type="textWrapping"/>
            </w:r>
            <w:r>
              <w:rPr>
                <w:rFonts w:hint="eastAsia" w:ascii="宋体" w:hAnsi="宋体" w:eastAsia="宋体" w:cs="宋体"/>
                <w:color w:val="auto"/>
                <w:sz w:val="19"/>
                <w:szCs w:val="19"/>
              </w:rPr>
              <w:t>审结</w:t>
            </w:r>
          </w:p>
        </w:tc>
        <w:tc>
          <w:tcPr>
            <w:tcW w:w="650"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3AB058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总计</w:t>
            </w:r>
          </w:p>
        </w:tc>
        <w:tc>
          <w:tcPr>
            <w:tcW w:w="325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5151F6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未经复议直接起诉</w:t>
            </w:r>
          </w:p>
        </w:tc>
        <w:tc>
          <w:tcPr>
            <w:tcW w:w="325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4D1B22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复议后起诉</w:t>
            </w:r>
          </w:p>
        </w:tc>
      </w:tr>
      <w:tr w14:paraId="1F52AD16">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6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1B0AF18">
            <w:pPr>
              <w:rPr>
                <w:rFonts w:hint="eastAsia" w:ascii="宋体"/>
                <w:color w:val="auto"/>
                <w:sz w:val="24"/>
                <w:szCs w:val="24"/>
              </w:rPr>
            </w:pPr>
          </w:p>
        </w:tc>
        <w:tc>
          <w:tcPr>
            <w:tcW w:w="6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DE5A53B">
            <w:pPr>
              <w:rPr>
                <w:rFonts w:hint="eastAsia" w:ascii="宋体"/>
                <w:color w:val="auto"/>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61129D35">
            <w:pPr>
              <w:rPr>
                <w:rFonts w:hint="eastAsia" w:ascii="宋体"/>
                <w:color w:val="auto"/>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359659C6">
            <w:pPr>
              <w:rPr>
                <w:rFonts w:hint="eastAsia" w:ascii="宋体"/>
                <w:color w:val="auto"/>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6DB0DE73">
            <w:pPr>
              <w:rPr>
                <w:rFonts w:hint="eastAsia" w:ascii="宋体"/>
                <w:color w:val="auto"/>
                <w:sz w:val="24"/>
                <w:szCs w:val="24"/>
              </w:rPr>
            </w:pP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657B99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维持</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7D2A5A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纠正</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94D7F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其他</w:t>
            </w:r>
            <w:r>
              <w:rPr>
                <w:color w:val="auto"/>
                <w:sz w:val="19"/>
                <w:szCs w:val="19"/>
              </w:rPr>
              <w:br w:type="textWrapping"/>
            </w:r>
            <w:r>
              <w:rPr>
                <w:rFonts w:hint="eastAsia" w:ascii="宋体" w:hAnsi="宋体" w:eastAsia="宋体" w:cs="宋体"/>
                <w:color w:val="auto"/>
                <w:sz w:val="19"/>
                <w:szCs w:val="19"/>
              </w:rPr>
              <w:t>结果</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51FD35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尚未</w:t>
            </w:r>
            <w:r>
              <w:rPr>
                <w:color w:val="auto"/>
                <w:sz w:val="19"/>
                <w:szCs w:val="19"/>
              </w:rPr>
              <w:br w:type="textWrapping"/>
            </w:r>
            <w:r>
              <w:rPr>
                <w:rFonts w:hint="eastAsia" w:ascii="宋体" w:hAnsi="宋体" w:eastAsia="宋体" w:cs="宋体"/>
                <w:color w:val="auto"/>
                <w:sz w:val="19"/>
                <w:szCs w:val="19"/>
              </w:rPr>
              <w:t>审结</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4AD164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总计</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5120F5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维持</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6529AB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纠正</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B9B94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其他</w:t>
            </w:r>
            <w:r>
              <w:rPr>
                <w:color w:val="auto"/>
                <w:sz w:val="19"/>
                <w:szCs w:val="19"/>
              </w:rPr>
              <w:br w:type="textWrapping"/>
            </w:r>
            <w:r>
              <w:rPr>
                <w:rFonts w:hint="eastAsia" w:ascii="宋体" w:hAnsi="宋体" w:eastAsia="宋体" w:cs="宋体"/>
                <w:color w:val="auto"/>
                <w:sz w:val="19"/>
                <w:szCs w:val="19"/>
              </w:rPr>
              <w:t>结果</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6D6C7C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尚未</w:t>
            </w:r>
            <w:r>
              <w:rPr>
                <w:color w:val="auto"/>
                <w:sz w:val="19"/>
                <w:szCs w:val="19"/>
              </w:rPr>
              <w:br w:type="textWrapping"/>
            </w:r>
            <w:r>
              <w:rPr>
                <w:rFonts w:hint="eastAsia" w:ascii="宋体" w:hAnsi="宋体" w:eastAsia="宋体" w:cs="宋体"/>
                <w:color w:val="auto"/>
                <w:sz w:val="19"/>
                <w:szCs w:val="19"/>
              </w:rPr>
              <w:t>审结</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6C4FFD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总计</w:t>
            </w:r>
          </w:p>
        </w:tc>
      </w:tr>
      <w:tr w14:paraId="10EF201E">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73D64F95">
            <w:pPr>
              <w:keepNext w:val="0"/>
              <w:keepLines w:val="0"/>
              <w:widowControl/>
              <w:suppressLineNumbers w:val="0"/>
              <w:spacing w:before="0" w:beforeAutospacing="0" w:after="0" w:afterAutospacing="0"/>
              <w:ind w:left="0" w:right="0"/>
              <w:jc w:val="center"/>
              <w:rPr>
                <w:rFonts w:hint="default" w:eastAsia="仿宋_GB2312"/>
                <w:color w:val="auto"/>
                <w:sz w:val="24"/>
                <w:szCs w:val="24"/>
                <w:lang w:val="en-US" w:eastAsia="zh-CN"/>
              </w:rPr>
            </w:pPr>
            <w:r>
              <w:rPr>
                <w:rFonts w:hint="eastAsia"/>
                <w:color w:val="auto"/>
                <w:sz w:val="24"/>
                <w:szCs w:val="24"/>
                <w:lang w:val="en-US" w:eastAsia="zh-CN"/>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4A040CBB">
            <w:pPr>
              <w:keepNext w:val="0"/>
              <w:keepLines w:val="0"/>
              <w:widowControl/>
              <w:suppressLineNumbers w:val="0"/>
              <w:spacing w:before="0" w:beforeAutospacing="0" w:after="0" w:afterAutospacing="0"/>
              <w:ind w:left="0" w:right="0"/>
              <w:jc w:val="center"/>
              <w:rPr>
                <w:rFonts w:hint="default" w:eastAsia="仿宋_GB2312"/>
                <w:color w:val="auto"/>
                <w:sz w:val="24"/>
                <w:szCs w:val="24"/>
                <w:lang w:val="en-US" w:eastAsia="zh-CN"/>
              </w:rPr>
            </w:pPr>
            <w:r>
              <w:rPr>
                <w:rFonts w:hint="eastAsia"/>
                <w:color w:val="auto"/>
                <w:sz w:val="24"/>
                <w:szCs w:val="24"/>
                <w:lang w:val="en-US" w:eastAsia="zh-CN"/>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01E0700">
            <w:pPr>
              <w:keepNext w:val="0"/>
              <w:keepLines w:val="0"/>
              <w:widowControl/>
              <w:suppressLineNumbers w:val="0"/>
              <w:spacing w:before="0" w:beforeAutospacing="0" w:after="0" w:afterAutospacing="0"/>
              <w:ind w:left="0" w:right="0"/>
              <w:jc w:val="center"/>
              <w:rPr>
                <w:rFonts w:hint="default" w:eastAsia="仿宋_GB2312"/>
                <w:color w:val="auto"/>
                <w:sz w:val="24"/>
                <w:szCs w:val="24"/>
                <w:lang w:val="en-US" w:eastAsia="zh-CN"/>
              </w:rPr>
            </w:pPr>
            <w:r>
              <w:rPr>
                <w:rFonts w:hint="eastAsia"/>
                <w:color w:val="auto"/>
                <w:sz w:val="24"/>
                <w:szCs w:val="24"/>
                <w:lang w:val="en-US" w:eastAsia="zh-CN"/>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3FA8F426">
            <w:pPr>
              <w:keepNext w:val="0"/>
              <w:keepLines w:val="0"/>
              <w:widowControl/>
              <w:suppressLineNumbers w:val="0"/>
              <w:spacing w:before="0" w:beforeAutospacing="0" w:after="0" w:afterAutospacing="0"/>
              <w:ind w:left="0" w:right="0"/>
              <w:jc w:val="center"/>
              <w:rPr>
                <w:rFonts w:hint="default" w:eastAsia="仿宋_GB2312"/>
                <w:color w:val="auto"/>
                <w:sz w:val="24"/>
                <w:szCs w:val="24"/>
                <w:lang w:val="en-US" w:eastAsia="zh-CN"/>
              </w:rPr>
            </w:pPr>
            <w:r>
              <w:rPr>
                <w:rFonts w:hint="eastAsia"/>
                <w:color w:val="auto"/>
                <w:sz w:val="24"/>
                <w:szCs w:val="24"/>
                <w:lang w:val="en-US" w:eastAsia="zh-CN"/>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402F6278">
            <w:pPr>
              <w:keepNext w:val="0"/>
              <w:keepLines w:val="0"/>
              <w:widowControl/>
              <w:suppressLineNumbers w:val="0"/>
              <w:spacing w:before="0" w:beforeAutospacing="0" w:after="0" w:afterAutospacing="0"/>
              <w:ind w:left="0" w:right="0"/>
              <w:jc w:val="center"/>
              <w:rPr>
                <w:rFonts w:hint="default" w:eastAsia="仿宋_GB2312"/>
                <w:color w:val="auto"/>
                <w:sz w:val="24"/>
                <w:szCs w:val="24"/>
                <w:lang w:val="en-US" w:eastAsia="zh-CN"/>
              </w:rPr>
            </w:pPr>
            <w:r>
              <w:rPr>
                <w:rFonts w:hint="eastAsia"/>
                <w:color w:val="auto"/>
                <w:sz w:val="24"/>
                <w:szCs w:val="24"/>
                <w:lang w:val="en-US" w:eastAsia="zh-CN"/>
              </w:rPr>
              <w:t>0</w:t>
            </w:r>
            <w:bookmarkStart w:id="0" w:name="_GoBack"/>
            <w:bookmarkEnd w:id="0"/>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3CDA9137">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5F5BC3F9">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1A84AFC7">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1B610633">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54C51A7B">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72ADFBAC">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1424BD66">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FCE9BEF">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1F1071CD">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E707057">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r>
    </w:tbl>
    <w:p w14:paraId="2F817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color="auto" w:fill="FFFFFF"/>
        </w:rPr>
        <w:t>五、存在的主要问题及改进情况</w:t>
      </w:r>
    </w:p>
    <w:p w14:paraId="02751809">
      <w:pPr>
        <w:ind w:firstLine="540" w:firstLineChars="200"/>
        <w:rPr>
          <w:rFonts w:hint="eastAsia" w:ascii="仿宋_GB2312" w:hAnsi="仿宋_GB2312" w:eastAsia="楷体" w:cs="仿宋_GB2312"/>
          <w:i w:val="0"/>
          <w:iCs w:val="0"/>
          <w:caps w:val="0"/>
          <w:color w:val="auto"/>
          <w:spacing w:val="0"/>
          <w:sz w:val="32"/>
          <w:szCs w:val="32"/>
          <w:shd w:val="clear" w:color="auto" w:fill="FFFFFF"/>
          <w:lang w:eastAsia="zh-CN"/>
        </w:rPr>
      </w:pPr>
      <w:r>
        <w:rPr>
          <w:rStyle w:val="5"/>
          <w:rFonts w:ascii="楷体" w:hAnsi="楷体" w:eastAsia="楷体" w:cs="楷体"/>
          <w:b w:val="0"/>
          <w:bCs w:val="0"/>
          <w:i w:val="0"/>
          <w:iCs w:val="0"/>
          <w:caps w:val="0"/>
          <w:color w:val="000000"/>
          <w:spacing w:val="0"/>
          <w:sz w:val="27"/>
          <w:szCs w:val="27"/>
          <w:shd w:val="clear" w:fill="FFFFFF"/>
        </w:rPr>
        <w:t>（一）存在的主要问题</w:t>
      </w:r>
      <w:r>
        <w:rPr>
          <w:rStyle w:val="5"/>
          <w:rFonts w:hint="eastAsia" w:ascii="楷体" w:hAnsi="楷体" w:eastAsia="楷体" w:cs="楷体"/>
          <w:b w:val="0"/>
          <w:bCs w:val="0"/>
          <w:i w:val="0"/>
          <w:iCs w:val="0"/>
          <w:caps w:val="0"/>
          <w:color w:val="000000"/>
          <w:spacing w:val="0"/>
          <w:sz w:val="27"/>
          <w:szCs w:val="27"/>
          <w:shd w:val="clear" w:fill="FFFFFF"/>
          <w:lang w:eastAsia="zh-CN"/>
        </w:rPr>
        <w:t>。</w:t>
      </w:r>
      <w:r>
        <w:rPr>
          <w:rFonts w:ascii="仿宋_GB2312" w:hAnsi="宋体" w:eastAsia="仿宋_GB2312" w:cs="仿宋_GB2312"/>
          <w:i w:val="0"/>
          <w:iCs w:val="0"/>
          <w:caps w:val="0"/>
          <w:color w:val="333333"/>
          <w:spacing w:val="0"/>
          <w:sz w:val="31"/>
          <w:szCs w:val="31"/>
          <w:shd w:val="clear" w:fill="FFFFFF"/>
        </w:rPr>
        <w:t>主动公开的</w:t>
      </w:r>
      <w:r>
        <w:rPr>
          <w:rFonts w:hint="eastAsia" w:ascii="仿宋_GB2312" w:hAnsi="宋体" w:cs="仿宋_GB2312"/>
          <w:i w:val="0"/>
          <w:iCs w:val="0"/>
          <w:caps w:val="0"/>
          <w:color w:val="333333"/>
          <w:spacing w:val="0"/>
          <w:sz w:val="31"/>
          <w:szCs w:val="31"/>
          <w:shd w:val="clear" w:fill="FFFFFF"/>
          <w:lang w:val="en-US" w:eastAsia="zh-CN"/>
        </w:rPr>
        <w:t>创新</w:t>
      </w:r>
      <w:r>
        <w:rPr>
          <w:rFonts w:ascii="仿宋_GB2312" w:hAnsi="宋体" w:eastAsia="仿宋_GB2312" w:cs="仿宋_GB2312"/>
          <w:i w:val="0"/>
          <w:iCs w:val="0"/>
          <w:caps w:val="0"/>
          <w:color w:val="333333"/>
          <w:spacing w:val="0"/>
          <w:sz w:val="31"/>
          <w:szCs w:val="31"/>
          <w:shd w:val="clear" w:fill="FFFFFF"/>
        </w:rPr>
        <w:t>意识还不够强，部分</w:t>
      </w:r>
      <w:r>
        <w:rPr>
          <w:rFonts w:hint="eastAsia" w:ascii="仿宋_GB2312" w:hAnsi="宋体" w:cs="仿宋_GB2312"/>
          <w:i w:val="0"/>
          <w:iCs w:val="0"/>
          <w:caps w:val="0"/>
          <w:color w:val="333333"/>
          <w:spacing w:val="0"/>
          <w:sz w:val="31"/>
          <w:szCs w:val="31"/>
          <w:shd w:val="clear" w:fill="FFFFFF"/>
          <w:lang w:val="en-US" w:eastAsia="zh-CN"/>
        </w:rPr>
        <w:t>股</w:t>
      </w:r>
      <w:r>
        <w:rPr>
          <w:rFonts w:ascii="仿宋_GB2312" w:hAnsi="宋体" w:eastAsia="仿宋_GB2312" w:cs="仿宋_GB2312"/>
          <w:i w:val="0"/>
          <w:iCs w:val="0"/>
          <w:caps w:val="0"/>
          <w:color w:val="333333"/>
          <w:spacing w:val="0"/>
          <w:sz w:val="31"/>
          <w:szCs w:val="31"/>
          <w:shd w:val="clear" w:fill="FFFFFF"/>
        </w:rPr>
        <w:t>室对政务公开存在有需要</w:t>
      </w:r>
      <w:r>
        <w:rPr>
          <w:rFonts w:hint="eastAsia" w:ascii="仿宋_GB2312" w:hAnsi="宋体" w:cs="仿宋_GB2312"/>
          <w:i w:val="0"/>
          <w:iCs w:val="0"/>
          <w:caps w:val="0"/>
          <w:color w:val="333333"/>
          <w:spacing w:val="0"/>
          <w:sz w:val="31"/>
          <w:szCs w:val="31"/>
          <w:shd w:val="clear" w:fill="FFFFFF"/>
          <w:lang w:val="en-US" w:eastAsia="zh-CN"/>
        </w:rPr>
        <w:t>才</w:t>
      </w:r>
      <w:r>
        <w:rPr>
          <w:rFonts w:ascii="仿宋_GB2312" w:hAnsi="宋体" w:eastAsia="仿宋_GB2312" w:cs="仿宋_GB2312"/>
          <w:i w:val="0"/>
          <w:iCs w:val="0"/>
          <w:caps w:val="0"/>
          <w:color w:val="333333"/>
          <w:spacing w:val="0"/>
          <w:sz w:val="31"/>
          <w:szCs w:val="31"/>
          <w:shd w:val="clear" w:fill="FFFFFF"/>
        </w:rPr>
        <w:t>公开的思想，公开内容的质量和时效有待提升。</w:t>
      </w:r>
    </w:p>
    <w:p w14:paraId="1D011CB1">
      <w:pPr>
        <w:ind w:firstLine="540" w:firstLineChars="200"/>
        <w:rPr>
          <w:rFonts w:hint="eastAsia" w:ascii="仿宋_GB2312" w:hAnsi="仿宋_GB2312" w:eastAsia="仿宋_GB2312" w:cs="仿宋_GB2312"/>
          <w:b/>
          <w:bCs/>
          <w:i w:val="0"/>
          <w:iCs w:val="0"/>
          <w:caps w:val="0"/>
          <w:color w:val="auto"/>
          <w:spacing w:val="0"/>
          <w:sz w:val="32"/>
          <w:szCs w:val="32"/>
          <w:shd w:val="clear" w:color="auto" w:fill="FFFFFF"/>
          <w:lang w:eastAsia="zh-CN"/>
        </w:rPr>
      </w:pPr>
      <w:r>
        <w:rPr>
          <w:rStyle w:val="5"/>
          <w:rFonts w:ascii="楷体" w:hAnsi="楷体" w:eastAsia="楷体" w:cs="楷体"/>
          <w:b w:val="0"/>
          <w:bCs w:val="0"/>
          <w:i w:val="0"/>
          <w:iCs w:val="0"/>
          <w:caps w:val="0"/>
          <w:color w:val="000000"/>
          <w:spacing w:val="0"/>
          <w:sz w:val="27"/>
          <w:szCs w:val="27"/>
          <w:shd w:val="clear" w:fill="FFFFFF"/>
        </w:rPr>
        <w:t>（二）具体的改进情况。</w:t>
      </w:r>
      <w:r>
        <w:rPr>
          <w:rFonts w:ascii="仿宋_GB2312" w:hAnsi="宋体" w:eastAsia="仿宋_GB2312" w:cs="仿宋_GB2312"/>
          <w:i w:val="0"/>
          <w:iCs w:val="0"/>
          <w:caps w:val="0"/>
          <w:color w:val="333333"/>
          <w:spacing w:val="0"/>
          <w:sz w:val="31"/>
          <w:szCs w:val="31"/>
          <w:shd w:val="clear" w:fill="FFFFFF"/>
        </w:rPr>
        <w:t>牢固树立以政务公开促进工作开展的理念。充分认识做好政府信息公开工作的重大意义，增强工作主动性</w:t>
      </w:r>
      <w:r>
        <w:rPr>
          <w:rFonts w:hint="eastAsia" w:ascii="仿宋_GB2312" w:hAnsi="宋体" w:cs="仿宋_GB2312"/>
          <w:i w:val="0"/>
          <w:iCs w:val="0"/>
          <w:caps w:val="0"/>
          <w:color w:val="333333"/>
          <w:spacing w:val="0"/>
          <w:sz w:val="31"/>
          <w:szCs w:val="31"/>
          <w:shd w:val="clear" w:fill="FFFFFF"/>
          <w:lang w:eastAsia="zh-CN"/>
        </w:rPr>
        <w:t>、</w:t>
      </w:r>
      <w:r>
        <w:rPr>
          <w:rFonts w:ascii="仿宋_GB2312" w:hAnsi="宋体" w:eastAsia="仿宋_GB2312" w:cs="仿宋_GB2312"/>
          <w:i w:val="0"/>
          <w:iCs w:val="0"/>
          <w:caps w:val="0"/>
          <w:color w:val="333333"/>
          <w:spacing w:val="0"/>
          <w:sz w:val="31"/>
          <w:szCs w:val="31"/>
          <w:shd w:val="clear" w:fill="FFFFFF"/>
        </w:rPr>
        <w:t>自觉性</w:t>
      </w:r>
      <w:r>
        <w:rPr>
          <w:rFonts w:hint="eastAsia" w:ascii="仿宋_GB2312" w:hAnsi="宋体" w:cs="仿宋_GB2312"/>
          <w:i w:val="0"/>
          <w:iCs w:val="0"/>
          <w:caps w:val="0"/>
          <w:color w:val="333333"/>
          <w:spacing w:val="0"/>
          <w:sz w:val="31"/>
          <w:szCs w:val="31"/>
          <w:shd w:val="clear" w:fill="FFFFFF"/>
          <w:lang w:val="en-US" w:eastAsia="zh-CN"/>
        </w:rPr>
        <w:t>和创新性</w:t>
      </w:r>
      <w:r>
        <w:rPr>
          <w:rFonts w:ascii="仿宋_GB2312" w:hAnsi="宋体" w:eastAsia="仿宋_GB2312" w:cs="仿宋_GB2312"/>
          <w:i w:val="0"/>
          <w:iCs w:val="0"/>
          <w:caps w:val="0"/>
          <w:color w:val="333333"/>
          <w:spacing w:val="0"/>
          <w:sz w:val="31"/>
          <w:szCs w:val="31"/>
          <w:shd w:val="clear" w:fill="FFFFFF"/>
        </w:rPr>
        <w:t>，做到及时主动更新</w:t>
      </w:r>
      <w:r>
        <w:rPr>
          <w:rFonts w:hint="eastAsia" w:ascii="仿宋_GB2312" w:hAnsi="宋体" w:cs="仿宋_GB2312"/>
          <w:i w:val="0"/>
          <w:iCs w:val="0"/>
          <w:caps w:val="0"/>
          <w:color w:val="333333"/>
          <w:spacing w:val="0"/>
          <w:sz w:val="31"/>
          <w:szCs w:val="31"/>
          <w:shd w:val="clear" w:fill="FFFFFF"/>
          <w:lang w:eastAsia="zh-CN"/>
        </w:rPr>
        <w:t>，</w:t>
      </w:r>
      <w:r>
        <w:rPr>
          <w:rFonts w:ascii="仿宋_GB2312" w:hAnsi="宋体" w:eastAsia="仿宋_GB2312" w:cs="仿宋_GB2312"/>
          <w:i w:val="0"/>
          <w:iCs w:val="0"/>
          <w:caps w:val="0"/>
          <w:color w:val="333333"/>
          <w:spacing w:val="0"/>
          <w:sz w:val="31"/>
          <w:szCs w:val="31"/>
          <w:shd w:val="clear" w:fill="FFFFFF"/>
        </w:rPr>
        <w:t>明确各领域公开内容，确保应公开尽公开，提升公开内容的质量和时效。</w:t>
      </w:r>
    </w:p>
    <w:p w14:paraId="059B53BA">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both"/>
        <w:rPr>
          <w:rFonts w:hint="eastAsia" w:ascii="黑体" w:hAnsi="黑体" w:eastAsia="黑体" w:cs="黑体"/>
          <w:b w:val="0"/>
          <w:bCs w:val="0"/>
          <w:i w:val="0"/>
          <w:iCs w:val="0"/>
          <w:caps w:val="0"/>
          <w:color w:val="auto"/>
          <w:spacing w:val="0"/>
          <w:sz w:val="32"/>
          <w:szCs w:val="32"/>
          <w:shd w:val="clear" w:color="auto" w:fill="FFFFFF"/>
        </w:rPr>
      </w:pPr>
      <w:r>
        <w:rPr>
          <w:rFonts w:hint="eastAsia" w:ascii="黑体" w:hAnsi="黑体" w:eastAsia="黑体" w:cs="黑体"/>
          <w:b w:val="0"/>
          <w:bCs w:val="0"/>
          <w:i w:val="0"/>
          <w:iCs w:val="0"/>
          <w:caps w:val="0"/>
          <w:color w:val="auto"/>
          <w:spacing w:val="0"/>
          <w:sz w:val="32"/>
          <w:szCs w:val="32"/>
          <w:shd w:val="clear" w:color="auto" w:fill="FFFFFF"/>
        </w:rPr>
        <w:t>其他需要报告的事项</w:t>
      </w:r>
    </w:p>
    <w:p w14:paraId="63F7102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640" w:firstLineChars="200"/>
        <w:jc w:val="both"/>
      </w:pPr>
      <w:r>
        <w:rPr>
          <w:rFonts w:hint="eastAsia" w:ascii="仿宋_GB2312" w:hAnsi="仿宋_GB2312" w:eastAsia="仿宋_GB2312" w:cs="仿宋_GB2312"/>
          <w:i w:val="0"/>
          <w:iCs w:val="0"/>
          <w:caps w:val="0"/>
          <w:color w:val="000000"/>
          <w:spacing w:val="0"/>
          <w:sz w:val="32"/>
          <w:szCs w:val="32"/>
          <w:shd w:val="clear" w:fill="FFFFFF"/>
        </w:rPr>
        <w:t>202</w:t>
      </w:r>
      <w:r>
        <w:rPr>
          <w:rFonts w:hint="eastAsia" w:ascii="仿宋_GB2312" w:hAnsi="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cs="仿宋_GB2312"/>
          <w:i w:val="0"/>
          <w:iCs w:val="0"/>
          <w:caps w:val="0"/>
          <w:color w:val="000000"/>
          <w:spacing w:val="0"/>
          <w:sz w:val="32"/>
          <w:szCs w:val="32"/>
          <w:shd w:val="clear" w:fill="FFFFFF"/>
          <w:lang w:eastAsia="zh-CN"/>
        </w:rPr>
        <w:t>方正县市场监督管理</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局</w:t>
      </w:r>
      <w:r>
        <w:rPr>
          <w:rFonts w:hint="eastAsia" w:ascii="仿宋_GB2312" w:hAnsi="仿宋_GB2312" w:eastAsia="仿宋_GB2312" w:cs="仿宋_GB2312"/>
          <w:i w:val="0"/>
          <w:iCs w:val="0"/>
          <w:caps w:val="0"/>
          <w:color w:val="000000"/>
          <w:spacing w:val="0"/>
          <w:sz w:val="32"/>
          <w:szCs w:val="32"/>
          <w:shd w:val="clear" w:fill="FFFFFF"/>
        </w:rPr>
        <w:t>没有收取涉及政府信息公开申请的任何费用。</w:t>
      </w:r>
    </w:p>
    <w:sectPr>
      <w:pgSz w:w="11906" w:h="16838"/>
      <w:pgMar w:top="1134" w:right="1134" w:bottom="1134" w:left="1134" w:header="851" w:footer="1644" w:gutter="0"/>
      <w:pgBorders>
        <w:top w:val="none" w:sz="0" w:space="0"/>
        <w:left w:val="none" w:sz="0" w:space="0"/>
        <w:bottom w:val="none" w:sz="0" w:space="0"/>
        <w:right w:val="none" w:sz="0" w:space="0"/>
      </w:pgBorders>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8F1B4"/>
    <w:multiLevelType w:val="singleLevel"/>
    <w:tmpl w:val="8168F1B4"/>
    <w:lvl w:ilvl="0" w:tentative="0">
      <w:start w:val="6"/>
      <w:numFmt w:val="chineseCounting"/>
      <w:suff w:val="nothing"/>
      <w:lvlText w:val="%1、"/>
      <w:lvlJc w:val="left"/>
      <w:rPr>
        <w:rFonts w:hint="eastAsia"/>
      </w:rPr>
    </w:lvl>
  </w:abstractNum>
  <w:abstractNum w:abstractNumId="1">
    <w:nsid w:val="CD7BA0DE"/>
    <w:multiLevelType w:val="singleLevel"/>
    <w:tmpl w:val="CD7BA0D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YWRmMGM4NDRmM2Y3ZTY3MWY0ZjU2MDY3YWFhMjIifQ=="/>
  </w:docVars>
  <w:rsids>
    <w:rsidRoot w:val="1E256E7D"/>
    <w:rsid w:val="19F75FE7"/>
    <w:rsid w:val="1DBB430B"/>
    <w:rsid w:val="1E256E7D"/>
    <w:rsid w:val="21718D1D"/>
    <w:rsid w:val="29143B49"/>
    <w:rsid w:val="2D4B7EBD"/>
    <w:rsid w:val="333C3A66"/>
    <w:rsid w:val="39181A3A"/>
    <w:rsid w:val="43FC64B9"/>
    <w:rsid w:val="4C757184"/>
    <w:rsid w:val="52946161"/>
    <w:rsid w:val="5C031DC6"/>
    <w:rsid w:val="5E146C58"/>
    <w:rsid w:val="5E181D01"/>
    <w:rsid w:val="5ECB77FB"/>
    <w:rsid w:val="5F750196"/>
    <w:rsid w:val="63584A94"/>
    <w:rsid w:val="65C54C6A"/>
    <w:rsid w:val="6DDB5568"/>
    <w:rsid w:val="6E7E0126"/>
    <w:rsid w:val="6FD84D46"/>
    <w:rsid w:val="6FF8050F"/>
    <w:rsid w:val="70D605B1"/>
    <w:rsid w:val="7AAD4830"/>
    <w:rsid w:val="7EFF9CAB"/>
    <w:rsid w:val="BDFC9B54"/>
    <w:rsid w:val="F2DFAD8C"/>
    <w:rsid w:val="F8EFB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1491</Words>
  <Characters>1611</Characters>
  <Lines>0</Lines>
  <Paragraphs>0</Paragraphs>
  <TotalTime>45</TotalTime>
  <ScaleCrop>false</ScaleCrop>
  <LinksUpToDate>false</LinksUpToDate>
  <CharactersWithSpaces>1611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2021-12-31T02:39:00Z</dcterms:created>
  <dc:creator>Administrator</dc:creator>
  <cp:lastModifiedBy>Administrator</cp:lastModifiedBy>
  <dcterms:modified xsi:type="dcterms:W3CDTF">2025-01-14T03:12:25Z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BF8821FDB93D42B9B504A948D3CBD4E4</vt:lpwstr>
  </property>
  <property fmtid="{D5CDD505-2E9C-101B-9397-08002B2CF9AE}" pid="4" name="KSOTemplateDocerSaveRecord">
    <vt:lpwstr>eyJoZGlkIjoiOWQ5YWMxMjAxZTUwZTMxYzdiN2JjNmY5ZTcxMzU1NjQifQ==</vt:lpwstr>
  </property>
</Properties>
</file>