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方正县卫生健康局2023年政府信息公开工作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spacing w:line="560" w:lineRule="exact"/>
        <w:ind w:firstLine="640" w:firstLineChars="200"/>
        <w:rPr>
          <w:rFonts w:hint="eastAsia"/>
        </w:rPr>
      </w:pPr>
    </w:p>
    <w:p>
      <w:pPr>
        <w:spacing w:line="560" w:lineRule="exact"/>
        <w:ind w:firstLine="640" w:firstLineChars="200"/>
        <w:rPr>
          <w:rFonts w:hint="eastAsia" w:ascii="仿宋_GB2312" w:hAnsi="仿宋_GB2312" w:cs="仿宋_GB2312"/>
          <w:kern w:val="0"/>
        </w:rPr>
      </w:pPr>
      <w:r>
        <w:rPr>
          <w:rFonts w:hint="eastAsia" w:ascii="仿宋_GB2312" w:hAnsi="仿宋_GB2312" w:cs="仿宋_GB2312"/>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2023年方正</w:t>
      </w:r>
      <w:r>
        <w:rPr>
          <w:rFonts w:hint="eastAsia" w:ascii="仿宋_GB2312" w:hAnsi="仿宋_GB2312" w:cs="仿宋_GB2312"/>
          <w:shd w:val="clear" w:color="auto" w:fill="FFFFFF"/>
        </w:rPr>
        <w:t>县卫生健康局</w:t>
      </w:r>
      <w:r>
        <w:rPr>
          <w:rFonts w:hint="eastAsia" w:ascii="仿宋_GB2312" w:hAnsi="仿宋_GB2312" w:cs="仿宋_GB2312"/>
        </w:rPr>
        <w:t>政府信息公开工作的基础上，编制了此报告。报告中所列数据统计期限自2023年1月1日起至2023年12月31日止。本年度报告的电子版，可以通过哈尔滨市人民政府门户网站→政府信息公开专栏查阅，网址为http://www.hrbfz.gov.cn/fzx/c111100/zfxxgklby_nb.shtml如对本报告有疑问，请联系方正县</w:t>
      </w:r>
      <w:r>
        <w:rPr>
          <w:rFonts w:hint="eastAsia" w:ascii="仿宋_GB2312" w:hAnsi="仿宋_GB2312" w:cs="仿宋_GB2312"/>
          <w:shd w:val="clear" w:color="auto" w:fill="FFFFFF"/>
        </w:rPr>
        <w:t>卫生健康局</w:t>
      </w:r>
      <w:r>
        <w:rPr>
          <w:rFonts w:hint="eastAsia" w:ascii="仿宋_GB2312" w:hAnsi="仿宋_GB2312" w:cs="仿宋_GB2312"/>
        </w:rPr>
        <w:t>，地址：</w:t>
      </w:r>
      <w:r>
        <w:rPr>
          <w:rFonts w:hint="eastAsia" w:ascii="仿宋_GB2312" w:hAnsi="仿宋_GB2312" w:cs="仿宋_GB2312"/>
          <w:kern w:val="0"/>
        </w:rPr>
        <w:t>黑龙江省哈尔滨市方正县方正镇世纪大道13号，邮编：150800，电话：0451-57114012。</w:t>
      </w:r>
    </w:p>
    <w:p>
      <w:pPr>
        <w:spacing w:line="560" w:lineRule="exact"/>
        <w:ind w:firstLine="640" w:firstLineChars="200"/>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　一、总体情况</w:t>
      </w:r>
    </w:p>
    <w:p>
      <w:pPr>
        <w:spacing w:line="560" w:lineRule="exact"/>
        <w:ind w:firstLine="640"/>
        <w:rPr>
          <w:rFonts w:ascii="仿宋_GB2312" w:hAnsi="仿宋_GB2312" w:cs="仿宋_GB2312"/>
        </w:rPr>
      </w:pPr>
      <w:r>
        <w:rPr>
          <w:rFonts w:hint="eastAsia" w:ascii="楷体_GB2312" w:hAnsi="楷体_GB2312" w:eastAsia="楷体_GB2312" w:cs="楷体_GB2312"/>
          <w:b w:val="0"/>
          <w:bCs w:val="0"/>
          <w:shd w:val="clear" w:color="auto" w:fill="FFFFFF"/>
        </w:rPr>
        <w:t>（一）主动公开方面</w:t>
      </w:r>
      <w:r>
        <w:rPr>
          <w:rFonts w:hint="eastAsia" w:ascii="仿宋_GB2312" w:hAnsi="仿宋_GB2312" w:cs="仿宋_GB2312"/>
          <w:b w:val="0"/>
          <w:bCs w:val="0"/>
          <w:shd w:val="clear" w:color="auto" w:fill="FFFFFF"/>
        </w:rPr>
        <w:t>。</w:t>
      </w:r>
      <w:r>
        <w:rPr>
          <w:rFonts w:hint="eastAsia" w:ascii="仿宋_GB2312" w:hAnsi="仿宋_GB2312" w:cs="仿宋_GB2312"/>
        </w:rPr>
        <w:t>2023年，方正县卫生健康局无制发行政规范化文件，公开行政许可102件，行政处罚6件，</w:t>
      </w:r>
      <w:r>
        <w:rPr>
          <w:rFonts w:hint="eastAsia" w:ascii="仿宋_GB2312" w:hAnsi="仿宋_GB2312" w:cs="仿宋_GB2312"/>
          <w:lang w:eastAsia="zh-CN"/>
        </w:rPr>
        <w:t>政务</w:t>
      </w:r>
      <w:r>
        <w:rPr>
          <w:rFonts w:hint="eastAsia" w:ascii="仿宋_GB2312" w:hAnsi="仿宋_GB2312" w:cs="仿宋_GB2312"/>
        </w:rPr>
        <w:t>信息25条</w:t>
      </w:r>
      <w:r>
        <w:rPr>
          <w:rFonts w:hint="eastAsia" w:ascii="仿宋_GB2312" w:hAnsi="仿宋_GB2312" w:cs="仿宋_GB2312"/>
          <w:lang w:eastAsia="zh-CN"/>
        </w:rPr>
        <w:t>，</w:t>
      </w:r>
      <w:r>
        <w:rPr>
          <w:rFonts w:hint="eastAsia" w:ascii="仿宋_GB2312" w:hAnsi="仿宋_GB2312" w:cs="仿宋_GB2312"/>
        </w:rPr>
        <w:t>确保群众及时了解政策措施和卫生计生政务动态</w:t>
      </w:r>
      <w:r>
        <w:rPr>
          <w:rFonts w:hint="eastAsia" w:ascii="仿宋_GB2312" w:hAnsi="仿宋_GB2312" w:cs="仿宋_GB2312"/>
          <w:lang w:eastAsia="zh-CN"/>
        </w:rPr>
        <w:t>及</w:t>
      </w:r>
      <w:r>
        <w:rPr>
          <w:rFonts w:hint="eastAsia" w:ascii="仿宋_GB2312" w:hAnsi="仿宋_GB2312" w:cs="仿宋_GB2312"/>
        </w:rPr>
        <w:t>健康科普等内容。</w:t>
      </w:r>
    </w:p>
    <w:p>
      <w:pPr>
        <w:pStyle w:val="5"/>
        <w:widowControl/>
        <w:shd w:val="clear" w:color="auto" w:fill="FFFFFF"/>
        <w:spacing w:before="0" w:beforeAutospacing="0" w:after="0" w:afterAutospacing="0" w:line="420" w:lineRule="atLeast"/>
        <w:ind w:firstLine="420"/>
        <w:jc w:val="both"/>
        <w:rPr>
          <w:rFonts w:hint="eastAsia" w:ascii="仿宋_GB2312"/>
          <w:sz w:val="32"/>
        </w:rPr>
      </w:pPr>
      <w:r>
        <w:rPr>
          <w:rFonts w:hint="eastAsia" w:ascii="楷体_GB2312" w:hAnsi="楷体_GB2312" w:eastAsia="楷体_GB2312" w:cs="楷体_GB2312"/>
          <w:b w:val="0"/>
          <w:bCs w:val="0"/>
          <w:sz w:val="32"/>
          <w:shd w:val="clear" w:color="auto" w:fill="FFFFFF"/>
        </w:rPr>
        <w:t>（二）依申请公开方面</w:t>
      </w:r>
      <w:r>
        <w:rPr>
          <w:rFonts w:hint="eastAsia" w:ascii="仿宋_GB2312" w:hAnsi="仿宋_GB2312" w:cs="仿宋_GB2312"/>
          <w:b w:val="0"/>
          <w:bCs w:val="0"/>
          <w:sz w:val="32"/>
          <w:shd w:val="clear" w:color="auto" w:fill="FFFFFF"/>
        </w:rPr>
        <w:t>。</w:t>
      </w:r>
      <w:r>
        <w:rPr>
          <w:rFonts w:hint="eastAsia" w:ascii="仿宋_GB2312"/>
          <w:sz w:val="32"/>
        </w:rPr>
        <w:t>2023</w:t>
      </w:r>
      <w:bookmarkStart w:id="0" w:name="_GoBack"/>
      <w:bookmarkEnd w:id="0"/>
      <w:r>
        <w:rPr>
          <w:rFonts w:hint="eastAsia" w:ascii="仿宋_GB2312"/>
          <w:sz w:val="32"/>
        </w:rPr>
        <w:t>年，方正县卫生健康局未收到和处理政府信息公开申请，未发生因信息公开申请被行政复议提起行政诉讼、投诉举报等情况。</w:t>
      </w:r>
    </w:p>
    <w:p>
      <w:pPr>
        <w:widowControl/>
        <w:spacing w:line="560" w:lineRule="exact"/>
        <w:ind w:firstLine="680" w:firstLineChars="200"/>
        <w:jc w:val="left"/>
        <w:rPr>
          <w:rFonts w:hint="eastAsia" w:ascii="仿宋_GB2312" w:hAnsi="仿宋_GB2312" w:cs="仿宋_GB2312"/>
        </w:rPr>
      </w:pPr>
      <w:r>
        <w:rPr>
          <w:rFonts w:hint="eastAsia" w:ascii="楷体_GB2312" w:hAnsi="楷体_GB2312" w:eastAsia="楷体_GB2312" w:cs="楷体_GB2312"/>
          <w:b w:val="0"/>
          <w:bCs w:val="0"/>
          <w:spacing w:val="10"/>
          <w:kern w:val="0"/>
        </w:rPr>
        <w:t>（三）政府信息管理方面</w:t>
      </w:r>
      <w:r>
        <w:rPr>
          <w:rFonts w:hint="eastAsia" w:ascii="仿宋_GB2312" w:hAnsi="仿宋_GB2312" w:cs="仿宋_GB2312"/>
          <w:b w:val="0"/>
          <w:bCs w:val="0"/>
          <w:shd w:val="clear" w:color="auto" w:fill="FFFFFF"/>
        </w:rPr>
        <w:t>。</w:t>
      </w:r>
      <w:r>
        <w:rPr>
          <w:rFonts w:hint="eastAsia"/>
        </w:rPr>
        <w:t>认真学习落实政府网站信息审核发布制度、政务信息公开制度和政府信息依申请公开制度等制度规定，进一步加快机关信息化建设。严格把关，在不涉及党和国家秘密的前提下，最大限度地向社会公开。在公开的时间上注重主动和及时公开。在公开的形式上，注重实效，采取因地制宜、灵活多样，根据不同政务的内容、性质、要求、对象等，采取多种形式和层次予以公开，达到了方便群众，增强实效的目的。</w:t>
      </w:r>
    </w:p>
    <w:p>
      <w:pPr>
        <w:widowControl/>
        <w:spacing w:line="560" w:lineRule="exact"/>
        <w:ind w:firstLine="680" w:firstLineChars="200"/>
        <w:jc w:val="left"/>
        <w:rPr>
          <w:rFonts w:hint="eastAsia" w:ascii="仿宋_GB2312" w:hAnsi="仿宋_GB2312" w:cs="仿宋_GB2312"/>
          <w:kern w:val="0"/>
        </w:rPr>
      </w:pPr>
      <w:r>
        <w:rPr>
          <w:rFonts w:hint="eastAsia" w:ascii="楷体_GB2312" w:hAnsi="楷体_GB2312" w:eastAsia="楷体_GB2312" w:cs="楷体_GB2312"/>
          <w:b w:val="0"/>
          <w:bCs w:val="0"/>
          <w:spacing w:val="10"/>
          <w:kern w:val="0"/>
        </w:rPr>
        <w:t>（四）平台建设方面。</w:t>
      </w:r>
      <w:r>
        <w:rPr>
          <w:rFonts w:hint="eastAsia" w:ascii="仿宋_GB2312" w:hAnsi="仿宋_GB2312" w:cs="仿宋_GB2312"/>
          <w:kern w:val="0"/>
        </w:rPr>
        <w:t>方正县卫生健康局信息公开工作依托方正县人民政府门户网站系统渠道开展，群众通过县政府网站的“</w:t>
      </w:r>
      <w:r>
        <w:rPr>
          <w:rFonts w:hint="eastAsia" w:ascii="仿宋_GB2312" w:hAnsi="仿宋_GB2312" w:cs="仿宋_GB2312"/>
          <w:kern w:val="0"/>
          <w:lang w:eastAsia="zh-CN"/>
        </w:rPr>
        <w:t>政务公开</w:t>
      </w:r>
      <w:r>
        <w:rPr>
          <w:rFonts w:hint="eastAsia" w:ascii="仿宋_GB2312" w:hAnsi="仿宋_GB2312" w:cs="仿宋_GB2312"/>
          <w:kern w:val="0"/>
        </w:rPr>
        <w:t>”栏目可查看我局主动公开的政府信息。</w:t>
      </w:r>
    </w:p>
    <w:p>
      <w:pPr>
        <w:widowControl/>
        <w:spacing w:line="560" w:lineRule="exact"/>
        <w:ind w:firstLine="680" w:firstLineChars="200"/>
        <w:jc w:val="left"/>
        <w:rPr>
          <w:rFonts w:ascii="仿宋_GB2312" w:hAnsi="仿宋_GB2312" w:cs="仿宋_GB2312"/>
        </w:rPr>
      </w:pPr>
      <w:r>
        <w:rPr>
          <w:rFonts w:hint="eastAsia" w:ascii="仿宋_GB2312" w:hAnsi="宋体" w:cs="宋体"/>
          <w:b w:val="0"/>
          <w:bCs w:val="0"/>
          <w:spacing w:val="10"/>
          <w:kern w:val="0"/>
        </w:rPr>
        <w:t>（</w:t>
      </w:r>
      <w:r>
        <w:rPr>
          <w:rFonts w:hint="eastAsia" w:ascii="楷体_GB2312" w:hAnsi="楷体_GB2312" w:eastAsia="楷体_GB2312" w:cs="楷体_GB2312"/>
          <w:b w:val="0"/>
          <w:bCs w:val="0"/>
          <w:spacing w:val="10"/>
          <w:kern w:val="0"/>
        </w:rPr>
        <w:t>五）监督保障方面。</w:t>
      </w:r>
      <w:r>
        <w:rPr>
          <w:rFonts w:hint="eastAsia"/>
        </w:rPr>
        <w:t>为使政府信息公开工作落到实处，我局通过投诉电话、电子邮箱等方式，广泛听取社会各界的意见和要求，充分发挥社会监督的作用，并积极接受县政府的检查督导。</w:t>
      </w:r>
    </w:p>
    <w:p>
      <w:pPr>
        <w:pStyle w:val="5"/>
        <w:widowControl/>
        <w:shd w:val="clear" w:color="auto" w:fill="FFFFFF"/>
        <w:spacing w:before="0" w:beforeAutospacing="0" w:after="0" w:afterAutospacing="0" w:line="420" w:lineRule="atLeast"/>
        <w:ind w:firstLine="420"/>
        <w:jc w:val="both"/>
        <w:rPr>
          <w:rFonts w:ascii="黑体" w:hAnsi="黑体" w:eastAsia="黑体" w:cs="黑体"/>
          <w:b w:val="0"/>
          <w:bCs w:val="0"/>
          <w:sz w:val="32"/>
        </w:rPr>
      </w:pPr>
      <w:r>
        <w:rPr>
          <w:rFonts w:hint="eastAsia" w:ascii="黑体" w:hAnsi="黑体" w:eastAsia="黑体" w:cs="黑体"/>
          <w:b w:val="0"/>
          <w:bCs w:val="0"/>
          <w:sz w:val="32"/>
          <w:shd w:val="clear" w:color="auto" w:fill="FFFFFF"/>
        </w:rPr>
        <w:t>二、主动公开政府信息情况</w:t>
      </w:r>
    </w:p>
    <w:tbl>
      <w:tblPr>
        <w:tblStyle w:val="6"/>
        <w:tblW w:w="10040" w:type="dxa"/>
        <w:jc w:val="center"/>
        <w:tblLayout w:type="autofit"/>
        <w:tblCellMar>
          <w:top w:w="0" w:type="dxa"/>
          <w:left w:w="108" w:type="dxa"/>
          <w:bottom w:w="0" w:type="dxa"/>
          <w:right w:w="108" w:type="dxa"/>
        </w:tblCellMar>
      </w:tblPr>
      <w:tblGrid>
        <w:gridCol w:w="2510"/>
        <w:gridCol w:w="2510"/>
        <w:gridCol w:w="2510"/>
        <w:gridCol w:w="2510"/>
      </w:tblGrid>
      <w:tr>
        <w:tblPrEx>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第二十条第（一）项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现行有效件数</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rPr>
              <w:t>0</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olor w:val="000000"/>
              </w:rPr>
            </w:pPr>
            <w:r>
              <w:rPr>
                <w:rFonts w:eastAsia="宋体"/>
                <w:color w:val="000000"/>
                <w:kern w:val="0"/>
                <w:sz w:val="24"/>
                <w:szCs w:val="24"/>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第二十条第（五）项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本年处理决定数量</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hint="eastAsia" w:eastAsia="宋体"/>
                <w:color w:val="000000"/>
                <w:kern w:val="0"/>
                <w:sz w:val="24"/>
                <w:szCs w:val="24"/>
              </w:rPr>
              <w:t>102</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第二十条第（六）项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本年处理决定数量</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hint="eastAsia" w:eastAsia="宋体"/>
                <w:color w:val="000000"/>
                <w:kern w:val="0"/>
                <w:sz w:val="24"/>
                <w:szCs w:val="24"/>
              </w:rPr>
              <w:t>6</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rPr>
              <w:t>0</w:t>
            </w:r>
          </w:p>
        </w:tc>
      </w:tr>
      <w:tr>
        <w:tblPrEx>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第二十条第（八）项</w:t>
            </w:r>
          </w:p>
        </w:tc>
      </w:tr>
      <w:tr>
        <w:tblPrEx>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本年收费金额（单位：万元）</w:t>
            </w:r>
          </w:p>
        </w:tc>
      </w:tr>
      <w:tr>
        <w:tblPrEx>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9"/>
                <w:szCs w:val="19"/>
              </w:rPr>
            </w:pPr>
            <w:r>
              <w:rPr>
                <w:rFonts w:hint="eastAsia" w:ascii="宋体" w:hAnsi="宋体" w:eastAsia="宋体" w:cs="宋体"/>
                <w:color w:val="000000"/>
                <w:kern w:val="0"/>
                <w:sz w:val="19"/>
                <w:szCs w:val="19"/>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color w:val="000000"/>
              </w:rPr>
            </w:pPr>
            <w:r>
              <w:rPr>
                <w:rFonts w:eastAsia="宋体"/>
                <w:color w:val="000000"/>
                <w:kern w:val="0"/>
                <w:sz w:val="24"/>
                <w:szCs w:val="24"/>
              </w:rPr>
              <w:t>0</w:t>
            </w:r>
          </w:p>
        </w:tc>
      </w:tr>
    </w:tbl>
    <w:p>
      <w:pPr>
        <w:pStyle w:val="5"/>
        <w:widowControl/>
        <w:shd w:val="clear" w:color="auto" w:fill="FFFFFF"/>
        <w:spacing w:before="0" w:beforeAutospacing="0" w:after="0" w:afterAutospacing="0" w:line="420" w:lineRule="atLeast"/>
        <w:ind w:firstLine="420"/>
        <w:jc w:val="center"/>
        <w:rPr>
          <w:rFonts w:ascii="宋体" w:hAnsi="宋体" w:eastAsia="宋体" w:cs="宋体"/>
        </w:rPr>
      </w:pPr>
    </w:p>
    <w:p>
      <w:pPr>
        <w:pStyle w:val="5"/>
        <w:widowControl/>
        <w:shd w:val="clear" w:color="auto" w:fill="FFFFFF"/>
        <w:spacing w:before="0" w:beforeAutospacing="0" w:after="180" w:afterAutospacing="0" w:line="420" w:lineRule="atLeast"/>
        <w:ind w:firstLine="640" w:firstLineChars="200"/>
        <w:rPr>
          <w:rFonts w:ascii="黑体" w:hAnsi="黑体" w:eastAsia="黑体" w:cs="黑体"/>
          <w:b w:val="0"/>
          <w:bCs w:val="0"/>
          <w:sz w:val="32"/>
        </w:rPr>
      </w:pPr>
      <w:r>
        <w:rPr>
          <w:rFonts w:hint="eastAsia" w:ascii="黑体" w:hAnsi="黑体" w:eastAsia="黑体" w:cs="黑体"/>
          <w:b w:val="0"/>
          <w:bCs w:val="0"/>
          <w:sz w:val="32"/>
          <w:shd w:val="clear" w:color="auto" w:fill="FFFFFF"/>
        </w:rPr>
        <w:t>三、收到和处理政府信息公开申请情况</w:t>
      </w:r>
    </w:p>
    <w:tbl>
      <w:tblPr>
        <w:tblStyle w:val="6"/>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rPr>
                <w:sz w:val="21"/>
                <w:szCs w:val="21"/>
              </w:rPr>
            </w:pPr>
            <w:r>
              <w:rPr>
                <w:rFonts w:hint="eastAsia" w:ascii="楷体" w:hAnsi="楷体" w:eastAsia="楷体" w:cs="楷体"/>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tcMar>
              <w:top w:w="0" w:type="dxa"/>
              <w:left w:w="105" w:type="dxa"/>
              <w:bottom w:w="0" w:type="dxa"/>
              <w:right w:w="105" w:type="dxa"/>
            </w:tcMar>
            <w:vAlign w:val="center"/>
          </w:tcPr>
          <w:p>
            <w:pPr>
              <w:rPr>
                <w:rFonts w:ascii="宋体"/>
                <w:sz w:val="21"/>
                <w:szCs w:val="21"/>
              </w:rPr>
            </w:pPr>
          </w:p>
        </w:tc>
        <w:tc>
          <w:tcPr>
            <w:tcW w:w="692" w:type="dxa"/>
            <w:vMerge w:val="restart"/>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自然人</w:t>
            </w:r>
          </w:p>
        </w:tc>
        <w:tc>
          <w:tcPr>
            <w:tcW w:w="3460" w:type="dxa"/>
            <w:gridSpan w:val="5"/>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tcMar>
              <w:top w:w="0" w:type="dxa"/>
              <w:left w:w="105" w:type="dxa"/>
              <w:bottom w:w="0" w:type="dxa"/>
              <w:right w:w="105" w:type="dxa"/>
            </w:tcMar>
            <w:vAlign w:val="center"/>
          </w:tcPr>
          <w:p>
            <w:pPr>
              <w:rPr>
                <w:rFonts w:ascii="宋体"/>
                <w:sz w:val="21"/>
                <w:szCs w:val="21"/>
              </w:rPr>
            </w:pPr>
          </w:p>
        </w:tc>
        <w:tc>
          <w:tcPr>
            <w:tcW w:w="692" w:type="dxa"/>
            <w:vMerge w:val="continue"/>
            <w:tcBorders>
              <w:top w:val="nil"/>
              <w:left w:val="nil"/>
              <w:bottom w:val="single"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692"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商业</w:t>
            </w:r>
          </w:p>
          <w:p>
            <w:pPr>
              <w:pStyle w:val="5"/>
              <w:widowControl/>
              <w:spacing w:before="0" w:beforeAutospacing="0" w:after="0" w:afterAutospacing="0"/>
              <w:jc w:val="center"/>
              <w:rPr>
                <w:sz w:val="21"/>
                <w:szCs w:val="21"/>
              </w:rPr>
            </w:pPr>
            <w:r>
              <w:rPr>
                <w:rFonts w:hint="eastAsia" w:ascii="宋体" w:hAnsi="宋体" w:eastAsia="宋体" w:cs="宋体"/>
                <w:sz w:val="21"/>
                <w:szCs w:val="21"/>
              </w:rPr>
              <w:t>企业</w:t>
            </w:r>
          </w:p>
        </w:tc>
        <w:tc>
          <w:tcPr>
            <w:tcW w:w="692"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科研</w:t>
            </w:r>
          </w:p>
          <w:p>
            <w:pPr>
              <w:pStyle w:val="5"/>
              <w:widowControl/>
              <w:spacing w:before="0" w:beforeAutospacing="0" w:after="0" w:afterAutospacing="0"/>
              <w:jc w:val="center"/>
              <w:rPr>
                <w:sz w:val="21"/>
                <w:szCs w:val="21"/>
              </w:rPr>
            </w:pPr>
            <w:r>
              <w:rPr>
                <w:rFonts w:hint="eastAsia" w:ascii="宋体" w:hAnsi="宋体" w:eastAsia="宋体" w:cs="宋体"/>
                <w:sz w:val="21"/>
                <w:szCs w:val="21"/>
              </w:rPr>
              <w:t>机构</w:t>
            </w:r>
          </w:p>
        </w:tc>
        <w:tc>
          <w:tcPr>
            <w:tcW w:w="692"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社会公益组织</w:t>
            </w:r>
          </w:p>
        </w:tc>
        <w:tc>
          <w:tcPr>
            <w:tcW w:w="692"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法律服务机构</w:t>
            </w:r>
          </w:p>
        </w:tc>
        <w:tc>
          <w:tcPr>
            <w:tcW w:w="692" w:type="dxa"/>
            <w:tcBorders>
              <w:top w:val="single" w:color="auto" w:sz="6" w:space="0"/>
              <w:left w:val="nil"/>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rPr>
                <w:sz w:val="21"/>
                <w:szCs w:val="21"/>
              </w:rPr>
            </w:pPr>
            <w:r>
              <w:rPr>
                <w:rFonts w:hint="eastAsia" w:ascii="宋体" w:hAnsi="宋体" w:eastAsia="宋体" w:cs="宋体"/>
                <w:sz w:val="21"/>
                <w:szCs w:val="21"/>
              </w:rPr>
              <w:t>其他</w:t>
            </w:r>
          </w:p>
        </w:tc>
        <w:tc>
          <w:tcPr>
            <w:tcW w:w="692" w:type="dxa"/>
            <w:vMerge w:val="continue"/>
            <w:tcBorders>
              <w:top w:val="single" w:color="auto" w:sz="6" w:space="0"/>
              <w:left w:val="nil"/>
              <w:bottom w:val="outset" w:color="auto" w:sz="6" w:space="0"/>
              <w:right w:val="single" w:color="auto" w:sz="6" w:space="0"/>
            </w:tcBorders>
            <w:noWrap/>
            <w:tcMar>
              <w:top w:w="0" w:type="dxa"/>
              <w:left w:w="105" w:type="dxa"/>
              <w:bottom w:w="0" w:type="dxa"/>
              <w:right w:w="105" w:type="dxa"/>
            </w:tcMar>
            <w:vAlign w:val="center"/>
          </w:tcPr>
          <w:p>
            <w:pPr>
              <w:rPr>
                <w:rFonts w:ascii="宋体"/>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一、本年新收政府信息公开申请数量</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二、上年结转政府信息公开申请数量</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三、本年度办理结果</w:t>
            </w:r>
          </w:p>
        </w:tc>
        <w:tc>
          <w:tcPr>
            <w:tcW w:w="4147" w:type="dxa"/>
            <w:gridSpan w:val="2"/>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（一）予以公开</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single" w:color="auto" w:sz="6" w:space="0"/>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4147" w:type="dxa"/>
            <w:gridSpan w:val="2"/>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（二）部分公开</w:t>
            </w:r>
            <w:r>
              <w:rPr>
                <w:rFonts w:hint="eastAsia" w:ascii="楷体" w:hAnsi="楷体" w:eastAsia="楷体" w:cs="楷体"/>
                <w:sz w:val="21"/>
                <w:szCs w:val="21"/>
              </w:rPr>
              <w:t>（区分处理的，只计这一情形，不计其他情形）</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（三）不予公开</w:t>
            </w: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1.属于国家秘密</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single" w:color="auto" w:sz="6" w:space="0"/>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2.其他法律行政法规禁止公开</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3.危及“三安全一稳定”</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4.保护第三方合法权益</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5.属于三类内部事务信息</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6.属于四类过程性信息</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7.属于行政执法案卷</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8.属于行政查询事项</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（四）无法提供</w:t>
            </w: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1.本机关不掌握相关政府信息</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2.没有现成信息需要另行制作</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3.补正后申请内容仍不明确</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restart"/>
            <w:tcBorders>
              <w:top w:val="nil"/>
              <w:left w:val="nil"/>
              <w:bottom w:val="outset"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（五）不予处理</w:t>
            </w: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1.信访举报投诉类申请</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2.重复申请</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3.要求提供公开出版物</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tcPr>
          <w:p>
            <w:pPr>
              <w:pStyle w:val="5"/>
              <w:widowControl/>
              <w:spacing w:before="0" w:beforeAutospacing="0" w:after="0" w:afterAutospacing="0"/>
              <w:rPr>
                <w:sz w:val="21"/>
                <w:szCs w:val="21"/>
              </w:rPr>
            </w:pPr>
            <w:r>
              <w:rPr>
                <w:sz w:val="21"/>
                <w:szCs w:val="21"/>
              </w:rPr>
              <w:t>4.无正当理由大量反复申请</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nil"/>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jc w:val="both"/>
              <w:rPr>
                <w:sz w:val="21"/>
                <w:szCs w:val="21"/>
              </w:rPr>
            </w:pPr>
            <w:r>
              <w:rPr>
                <w:sz w:val="21"/>
                <w:szCs w:val="21"/>
              </w:rPr>
              <w:t>5.要求行政机关确认或重新出具已获取信息</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outset"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restart"/>
            <w:tcBorders>
              <w:top w:val="outset" w:color="auto" w:sz="6" w:space="0"/>
              <w:left w:val="nil"/>
              <w:bottom w:val="outset"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（六）其他处理</w:t>
            </w:r>
          </w:p>
        </w:tc>
        <w:tc>
          <w:tcPr>
            <w:tcW w:w="3206"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jc w:val="both"/>
              <w:rPr>
                <w:sz w:val="21"/>
                <w:szCs w:val="21"/>
              </w:rPr>
            </w:pPr>
            <w:r>
              <w:rPr>
                <w:rFonts w:hint="eastAsia" w:ascii="宋体" w:hAnsi="宋体" w:eastAsia="宋体" w:cs="宋体"/>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outset" w:color="auto" w:sz="6" w:space="0"/>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jc w:val="both"/>
              <w:rPr>
                <w:sz w:val="21"/>
                <w:szCs w:val="21"/>
              </w:rPr>
            </w:pPr>
            <w:r>
              <w:rPr>
                <w:rFonts w:hint="eastAsia" w:ascii="宋体" w:hAnsi="宋体" w:eastAsia="宋体" w:cs="宋体"/>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941" w:type="dxa"/>
            <w:vMerge w:val="continue"/>
            <w:tcBorders>
              <w:top w:val="outset" w:color="auto" w:sz="6" w:space="0"/>
              <w:left w:val="nil"/>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3206"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3.其他</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tcMar>
              <w:top w:w="0" w:type="dxa"/>
              <w:left w:w="60" w:type="dxa"/>
              <w:bottom w:w="0" w:type="dxa"/>
              <w:right w:w="60" w:type="dxa"/>
            </w:tcMar>
            <w:vAlign w:val="center"/>
          </w:tcPr>
          <w:p>
            <w:pPr>
              <w:rPr>
                <w:rFonts w:ascii="宋体"/>
                <w:sz w:val="21"/>
                <w:szCs w:val="21"/>
              </w:rPr>
            </w:pPr>
          </w:p>
        </w:tc>
        <w:tc>
          <w:tcPr>
            <w:tcW w:w="4147" w:type="dxa"/>
            <w:gridSpan w:val="2"/>
            <w:tcBorders>
              <w:top w:val="nil"/>
              <w:left w:val="nil"/>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（七）总计</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tcMar>
              <w:top w:w="0" w:type="dxa"/>
              <w:left w:w="60" w:type="dxa"/>
              <w:bottom w:w="0" w:type="dxa"/>
              <w:right w:w="60" w:type="dxa"/>
            </w:tcMar>
            <w:vAlign w:val="center"/>
          </w:tcPr>
          <w:p>
            <w:pPr>
              <w:pStyle w:val="5"/>
              <w:widowControl/>
              <w:spacing w:before="0" w:beforeAutospacing="0" w:after="0" w:afterAutospacing="0"/>
              <w:rPr>
                <w:sz w:val="21"/>
                <w:szCs w:val="21"/>
              </w:rPr>
            </w:pPr>
            <w:r>
              <w:rPr>
                <w:rFonts w:hint="eastAsia" w:ascii="宋体" w:hAnsi="宋体" w:eastAsia="宋体" w:cs="宋体"/>
                <w:sz w:val="21"/>
                <w:szCs w:val="21"/>
              </w:rPr>
              <w:t>四、结转下年度继续办理</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c>
          <w:tcPr>
            <w:tcW w:w="692" w:type="dxa"/>
            <w:tcBorders>
              <w:top w:val="nil"/>
              <w:left w:val="nil"/>
              <w:bottom w:val="single" w:color="auto" w:sz="6" w:space="0"/>
              <w:right w:val="single" w:color="auto" w:sz="6" w:space="0"/>
            </w:tcBorders>
            <w:noWrap/>
            <w:tcMar>
              <w:top w:w="0" w:type="dxa"/>
              <w:left w:w="60" w:type="dxa"/>
              <w:bottom w:w="0" w:type="dxa"/>
              <w:right w:w="60" w:type="dxa"/>
            </w:tcMar>
            <w:vAlign w:val="center"/>
          </w:tcPr>
          <w:p>
            <w:pPr>
              <w:widowControl/>
              <w:jc w:val="center"/>
              <w:textAlignment w:val="center"/>
              <w:rPr>
                <w:sz w:val="21"/>
                <w:szCs w:val="21"/>
              </w:rPr>
            </w:pPr>
            <w:r>
              <w:rPr>
                <w:rFonts w:eastAsia="宋体"/>
                <w:color w:val="000000"/>
                <w:kern w:val="0"/>
                <w:sz w:val="24"/>
                <w:szCs w:val="24"/>
              </w:rPr>
              <w:t>0</w:t>
            </w:r>
          </w:p>
        </w:tc>
      </w:tr>
    </w:tbl>
    <w:p>
      <w:pPr>
        <w:pStyle w:val="5"/>
        <w:widowControl/>
        <w:shd w:val="clear" w:color="auto" w:fill="FFFFFF"/>
        <w:spacing w:before="0" w:beforeAutospacing="0" w:after="0" w:afterAutospacing="0" w:line="420" w:lineRule="atLeast"/>
        <w:ind w:firstLine="560" w:firstLineChars="200"/>
        <w:jc w:val="both"/>
        <w:rPr>
          <w:rFonts w:ascii="黑体" w:hAnsi="黑体" w:eastAsia="黑体" w:cs="黑体"/>
          <w:b w:val="0"/>
          <w:bCs w:val="0"/>
          <w:sz w:val="28"/>
          <w:szCs w:val="28"/>
        </w:rPr>
      </w:pPr>
      <w:r>
        <w:rPr>
          <w:rFonts w:hint="eastAsia" w:ascii="黑体" w:hAnsi="黑体" w:eastAsia="黑体" w:cs="黑体"/>
          <w:b w:val="0"/>
          <w:bCs w:val="0"/>
          <w:sz w:val="28"/>
          <w:szCs w:val="28"/>
          <w:shd w:val="clear" w:color="auto" w:fill="FFFFFF"/>
        </w:rPr>
        <w:t>四、政府信息公开行政复议、行政诉讼情况</w:t>
      </w:r>
    </w:p>
    <w:tbl>
      <w:tblPr>
        <w:tblStyle w:val="6"/>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结果维持</w:t>
            </w:r>
          </w:p>
        </w:tc>
        <w:tc>
          <w:tcPr>
            <w:tcW w:w="650" w:type="dxa"/>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rPr>
                <w:rFonts w:ascii="宋体"/>
                <w:sz w:val="24"/>
                <w:szCs w:val="24"/>
              </w:rPr>
            </w:pPr>
          </w:p>
        </w:tc>
        <w:tc>
          <w:tcPr>
            <w:tcW w:w="650" w:type="dxa"/>
            <w:vMerge w:val="continue"/>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rPr>
                <w:rFonts w:ascii="宋体"/>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rPr>
                <w:rFonts w:ascii="宋体"/>
                <w:sz w:val="24"/>
                <w:szCs w:val="24"/>
              </w:rPr>
            </w:pP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维持</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总计</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维持</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结果</w:t>
            </w:r>
            <w:r>
              <w:rPr>
                <w:sz w:val="19"/>
                <w:szCs w:val="19"/>
              </w:rPr>
              <w:br w:type="textWrapping"/>
            </w:r>
            <w:r>
              <w:rPr>
                <w:rFonts w:hint="eastAsia" w:ascii="宋体" w:hAnsi="宋体" w:eastAsia="宋体" w:cs="宋体"/>
                <w:sz w:val="19"/>
                <w:szCs w:val="19"/>
              </w:rPr>
              <w:t>纠正</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其他</w:t>
            </w:r>
            <w:r>
              <w:rPr>
                <w:sz w:val="19"/>
                <w:szCs w:val="19"/>
              </w:rPr>
              <w:br w:type="textWrapping"/>
            </w:r>
            <w:r>
              <w:rPr>
                <w:rFonts w:hint="eastAsia" w:ascii="宋体" w:hAnsi="宋体" w:eastAsia="宋体" w:cs="宋体"/>
                <w:sz w:val="19"/>
                <w:szCs w:val="19"/>
              </w:rPr>
              <w:t>结果</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尚未</w:t>
            </w:r>
            <w:r>
              <w:rPr>
                <w:sz w:val="19"/>
                <w:szCs w:val="19"/>
              </w:rPr>
              <w:br w:type="textWrapping"/>
            </w:r>
            <w:r>
              <w:rPr>
                <w:rFonts w:hint="eastAsia" w:ascii="宋体" w:hAnsi="宋体" w:eastAsia="宋体" w:cs="宋体"/>
                <w:sz w:val="19"/>
                <w:szCs w:val="19"/>
              </w:rPr>
              <w:t>审结</w:t>
            </w:r>
          </w:p>
        </w:tc>
        <w:tc>
          <w:tcPr>
            <w:tcW w:w="65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pStyle w:val="5"/>
              <w:widowControl/>
              <w:spacing w:before="0" w:beforeAutospacing="0" w:after="0" w:afterAutospacing="0"/>
              <w:jc w:val="center"/>
            </w:pPr>
            <w:r>
              <w:rPr>
                <w:rFonts w:hint="eastAsia" w:ascii="宋体" w:hAnsi="宋体" w:eastAsia="宋体" w:cs="宋体"/>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c>
          <w:tcPr>
            <w:tcW w:w="65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pPr>
            <w:r>
              <w:rPr>
                <w:rFonts w:eastAsia="宋体"/>
                <w:color w:val="000000"/>
                <w:kern w:val="0"/>
                <w:sz w:val="24"/>
                <w:szCs w:val="24"/>
              </w:rPr>
              <w:t>0</w:t>
            </w:r>
          </w:p>
        </w:tc>
      </w:tr>
    </w:tbl>
    <w:p>
      <w:pPr>
        <w:pStyle w:val="5"/>
        <w:widowControl/>
        <w:shd w:val="clear" w:color="auto" w:fill="FFFFFF"/>
        <w:spacing w:before="0" w:beforeAutospacing="0" w:after="0" w:afterAutospacing="0" w:line="420" w:lineRule="atLeast"/>
        <w:ind w:firstLine="640" w:firstLineChars="200"/>
        <w:jc w:val="both"/>
        <w:rPr>
          <w:rFonts w:ascii="黑体" w:hAnsi="黑体" w:eastAsia="黑体" w:cs="黑体"/>
          <w:b w:val="0"/>
          <w:bCs w:val="0"/>
          <w:sz w:val="32"/>
        </w:rPr>
      </w:pPr>
      <w:r>
        <w:rPr>
          <w:rFonts w:hint="eastAsia" w:ascii="黑体" w:hAnsi="黑体" w:eastAsia="黑体" w:cs="黑体"/>
          <w:b w:val="0"/>
          <w:bCs w:val="0"/>
          <w:sz w:val="32"/>
          <w:shd w:val="clear" w:color="auto" w:fill="FFFFFF"/>
        </w:rPr>
        <w:t>五、存在的主要问题及改进情况</w:t>
      </w:r>
    </w:p>
    <w:p>
      <w:pPr>
        <w:pStyle w:val="5"/>
        <w:widowControl/>
        <w:spacing w:before="75" w:beforeAutospacing="0" w:after="75" w:afterAutospacing="0"/>
        <w:ind w:firstLine="420"/>
        <w:jc w:val="both"/>
        <w:rPr>
          <w:rFonts w:ascii="仿宋_GB2312" w:hAnsi="仿宋_GB2312" w:cs="仿宋_GB2312"/>
          <w:b w:val="0"/>
          <w:bCs w:val="0"/>
          <w:kern w:val="2"/>
          <w:sz w:val="32"/>
          <w:szCs w:val="32"/>
        </w:rPr>
      </w:pPr>
      <w:r>
        <w:rPr>
          <w:rStyle w:val="8"/>
          <w:rFonts w:ascii="楷体" w:hAnsi="楷体" w:eastAsia="楷体" w:cs="楷体"/>
          <w:b w:val="0"/>
          <w:bCs w:val="0"/>
          <w:color w:val="000000"/>
          <w:sz w:val="32"/>
          <w:szCs w:val="32"/>
          <w:shd w:val="clear" w:color="auto" w:fill="FFFFFF"/>
        </w:rPr>
        <w:t>（一）存在的主要问题。</w:t>
      </w:r>
      <w:r>
        <w:rPr>
          <w:rFonts w:hint="eastAsia" w:ascii="仿宋_GB2312" w:hAnsi="仿宋_GB2312" w:cs="仿宋_GB2312"/>
          <w:b w:val="0"/>
          <w:bCs w:val="0"/>
          <w:kern w:val="2"/>
          <w:sz w:val="32"/>
          <w:szCs w:val="32"/>
        </w:rPr>
        <w:t>信息公开工作偶有滞后。</w:t>
      </w:r>
    </w:p>
    <w:p>
      <w:pPr>
        <w:pStyle w:val="5"/>
        <w:widowControl/>
        <w:spacing w:before="75" w:beforeAutospacing="0" w:after="75" w:afterAutospacing="0"/>
        <w:ind w:firstLine="420"/>
        <w:jc w:val="both"/>
        <w:rPr>
          <w:rFonts w:hint="eastAsia" w:ascii="仿宋_GB2312" w:hAnsi="仿宋_GB2312" w:eastAsia="仿宋_GB2312" w:cs="仿宋_GB2312"/>
          <w:b w:val="0"/>
          <w:bCs w:val="0"/>
          <w:kern w:val="2"/>
          <w:sz w:val="32"/>
          <w:lang w:eastAsia="zh-CN"/>
        </w:rPr>
      </w:pPr>
      <w:r>
        <w:rPr>
          <w:rStyle w:val="8"/>
          <w:rFonts w:ascii="楷体" w:hAnsi="楷体" w:eastAsia="楷体" w:cs="楷体"/>
          <w:b w:val="0"/>
          <w:bCs w:val="0"/>
          <w:color w:val="000000"/>
          <w:sz w:val="32"/>
          <w:szCs w:val="32"/>
          <w:shd w:val="clear" w:color="auto" w:fill="FFFFFF"/>
        </w:rPr>
        <w:t>（二）具体的改进情况。</w:t>
      </w:r>
      <w:r>
        <w:rPr>
          <w:rFonts w:hint="eastAsia" w:ascii="仿宋_GB2312" w:hAnsi="仿宋_GB2312" w:cs="仿宋_GB2312"/>
          <w:b w:val="0"/>
          <w:bCs w:val="0"/>
          <w:kern w:val="2"/>
          <w:sz w:val="32"/>
        </w:rPr>
        <w:t>规范工作流程，认真梳理我局政务公开信息，及时更新，确保政务信息公开工作能按照既定的工作流程有效运作</w:t>
      </w:r>
      <w:r>
        <w:rPr>
          <w:rFonts w:hint="eastAsia" w:ascii="仿宋_GB2312" w:hAnsi="仿宋_GB2312" w:cs="仿宋_GB2312"/>
          <w:b w:val="0"/>
          <w:bCs w:val="0"/>
          <w:kern w:val="2"/>
          <w:sz w:val="32"/>
          <w:lang w:eastAsia="zh-CN"/>
        </w:rPr>
        <w:t>。</w:t>
      </w:r>
    </w:p>
    <w:p>
      <w:pPr>
        <w:pStyle w:val="5"/>
        <w:widowControl/>
        <w:numPr>
          <w:ilvl w:val="0"/>
          <w:numId w:val="1"/>
        </w:numPr>
        <w:shd w:val="clear" w:color="auto" w:fill="FFFFFF"/>
        <w:spacing w:before="0" w:beforeAutospacing="0" w:after="0" w:afterAutospacing="0" w:line="420" w:lineRule="atLeast"/>
        <w:ind w:firstLine="640" w:firstLineChars="200"/>
        <w:jc w:val="both"/>
        <w:rPr>
          <w:rFonts w:ascii="黑体" w:hAnsi="黑体" w:eastAsia="黑体" w:cs="黑体"/>
          <w:b w:val="0"/>
          <w:bCs w:val="0"/>
          <w:sz w:val="32"/>
          <w:shd w:val="clear" w:color="auto" w:fill="FFFFFF"/>
        </w:rPr>
      </w:pPr>
      <w:r>
        <w:rPr>
          <w:rFonts w:hint="eastAsia" w:ascii="黑体" w:hAnsi="黑体" w:eastAsia="黑体" w:cs="黑体"/>
          <w:b w:val="0"/>
          <w:bCs w:val="0"/>
          <w:sz w:val="32"/>
          <w:shd w:val="clear" w:color="auto" w:fill="FFFFFF"/>
        </w:rPr>
        <w:t>其他需要报告的事项</w:t>
      </w:r>
    </w:p>
    <w:p>
      <w:pPr>
        <w:pStyle w:val="5"/>
        <w:widowControl/>
        <w:shd w:val="clear" w:color="auto" w:fill="FFFFFF"/>
        <w:spacing w:before="0" w:beforeAutospacing="0" w:after="0" w:afterAutospacing="0" w:line="420" w:lineRule="atLeast"/>
        <w:ind w:firstLine="640" w:firstLineChars="200"/>
        <w:jc w:val="both"/>
        <w:rPr>
          <w:rFonts w:ascii="仿宋_GB2312" w:hAnsi="仿宋_GB2312" w:cs="仿宋_GB2312"/>
          <w:sz w:val="32"/>
          <w:shd w:val="clear" w:color="auto" w:fill="FFFFFF"/>
        </w:rPr>
      </w:pPr>
      <w:r>
        <w:rPr>
          <w:rFonts w:hint="eastAsia" w:ascii="仿宋_GB2312" w:hAnsi="仿宋_GB2312" w:cs="仿宋_GB2312"/>
          <w:color w:val="000000"/>
          <w:sz w:val="32"/>
          <w:shd w:val="clear" w:color="auto" w:fill="FFFFFF"/>
        </w:rPr>
        <w:t>2023年，方正县</w:t>
      </w:r>
      <w:r>
        <w:rPr>
          <w:rFonts w:hint="eastAsia" w:ascii="仿宋_GB2312" w:hAnsi="仿宋_GB2312" w:cs="仿宋_GB2312"/>
          <w:sz w:val="32"/>
          <w:shd w:val="clear" w:color="auto" w:fill="FFFFFF"/>
        </w:rPr>
        <w:t>卫生健康局</w:t>
      </w:r>
      <w:r>
        <w:rPr>
          <w:rFonts w:hint="eastAsia" w:ascii="仿宋_GB2312" w:hAnsi="仿宋_GB2312" w:cs="仿宋_GB2312"/>
          <w:color w:val="000000"/>
          <w:sz w:val="32"/>
          <w:shd w:val="clear" w:color="auto" w:fill="FFFFFF"/>
        </w:rPr>
        <w:t>没有收取涉及政府信息公开申请的任何费用。</w:t>
      </w:r>
    </w:p>
    <w:p>
      <w:pPr>
        <w:pStyle w:val="5"/>
        <w:widowControl/>
        <w:shd w:val="clear" w:color="auto" w:fill="FFFFFF"/>
        <w:spacing w:before="0" w:beforeAutospacing="0" w:after="0" w:afterAutospacing="0" w:line="420" w:lineRule="atLeast"/>
        <w:ind w:firstLine="3936" w:firstLineChars="1230"/>
        <w:rPr>
          <w:rFonts w:ascii="仿宋_GB2312" w:hAnsi="仿宋_GB2312" w:cs="仿宋_GB2312"/>
          <w:sz w:val="32"/>
          <w:shd w:val="clear" w:color="auto" w:fill="FFFFFF"/>
        </w:rPr>
      </w:pPr>
    </w:p>
    <w:p>
      <w:pPr>
        <w:pStyle w:val="5"/>
        <w:widowControl/>
        <w:shd w:val="clear" w:color="auto" w:fill="FFFFFF"/>
        <w:spacing w:before="0" w:beforeAutospacing="0" w:after="0" w:afterAutospacing="0" w:line="420" w:lineRule="atLeast"/>
        <w:ind w:firstLine="3936" w:firstLineChars="1230"/>
        <w:rPr>
          <w:rFonts w:ascii="仿宋_GB2312" w:hAnsi="仿宋_GB2312" w:cs="仿宋_GB2312"/>
          <w:sz w:val="32"/>
          <w:shd w:val="clear" w:color="auto" w:fill="FFFFFF"/>
        </w:rPr>
      </w:pPr>
      <w:r>
        <w:rPr>
          <w:rFonts w:hint="eastAsia" w:ascii="仿宋_GB2312" w:hAnsi="仿宋_GB2312" w:cs="仿宋_GB2312"/>
          <w:sz w:val="32"/>
          <w:shd w:val="clear" w:color="auto" w:fill="FFFFFF"/>
        </w:rPr>
        <w:t xml:space="preserve">   </w:t>
      </w:r>
    </w:p>
    <w:sectPr>
      <w:pgSz w:w="11906" w:h="16838"/>
      <w:pgMar w:top="1134" w:right="1134" w:bottom="1134" w:left="1134" w:header="851" w:footer="1644"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kYWRmMGM4NDRmM2Y3ZTY3MWY0ZjU2MDY3YWFhMjIifQ=="/>
  </w:docVars>
  <w:rsids>
    <w:rsidRoot w:val="1E256E7D"/>
    <w:rsid w:val="000411C1"/>
    <w:rsid w:val="00096122"/>
    <w:rsid w:val="00153A52"/>
    <w:rsid w:val="003210A6"/>
    <w:rsid w:val="005A65B8"/>
    <w:rsid w:val="006A33BB"/>
    <w:rsid w:val="19F75FE7"/>
    <w:rsid w:val="1DBB430B"/>
    <w:rsid w:val="1E256E7D"/>
    <w:rsid w:val="21718D1D"/>
    <w:rsid w:val="29143B49"/>
    <w:rsid w:val="39181A3A"/>
    <w:rsid w:val="43FC64B9"/>
    <w:rsid w:val="4D4C8234"/>
    <w:rsid w:val="52946161"/>
    <w:rsid w:val="5C031DC6"/>
    <w:rsid w:val="5E146C58"/>
    <w:rsid w:val="5ECB77FB"/>
    <w:rsid w:val="5F750196"/>
    <w:rsid w:val="635EB5CD"/>
    <w:rsid w:val="6B6749AF"/>
    <w:rsid w:val="6C812E51"/>
    <w:rsid w:val="6DD6667A"/>
    <w:rsid w:val="6DDB5568"/>
    <w:rsid w:val="6E7E0126"/>
    <w:rsid w:val="6F190B3E"/>
    <w:rsid w:val="6FD84D46"/>
    <w:rsid w:val="70D605B1"/>
    <w:rsid w:val="74EE7FD1"/>
    <w:rsid w:val="7AAD4830"/>
    <w:rsid w:val="7B3E8B4B"/>
    <w:rsid w:val="7D67A3D6"/>
    <w:rsid w:val="7F7E00C3"/>
    <w:rsid w:val="BBEF4FAD"/>
    <w:rsid w:val="BDFC9B54"/>
    <w:rsid w:val="BF9FF7A9"/>
    <w:rsid w:val="DF3E1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eastAsia="仿宋_GB2312"/>
      <w:kern w:val="2"/>
      <w:sz w:val="18"/>
      <w:szCs w:val="18"/>
    </w:rPr>
  </w:style>
  <w:style w:type="character" w:customStyle="1" w:styleId="11">
    <w:name w:val="页脚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365</Words>
  <Characters>2083</Characters>
  <Lines>17</Lines>
  <Paragraphs>4</Paragraphs>
  <TotalTime>35</TotalTime>
  <ScaleCrop>false</ScaleCrop>
  <LinksUpToDate>false</LinksUpToDate>
  <CharactersWithSpaces>2444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2021-12-31T10:39:00Z</dcterms:created>
  <dc:creator>Administrator</dc:creator>
  <cp:lastModifiedBy>greatwall</cp:lastModifiedBy>
  <dcterms:modified xsi:type="dcterms:W3CDTF">2024-02-02T10:13:15Z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BF8821FDB93D42B9B504A948D3CBD4E4</vt:lpwstr>
  </property>
</Properties>
</file>