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color w:val="auto"/>
          <w:sz w:val="44"/>
          <w:szCs w:val="44"/>
          <w:lang w:val="en-US" w:eastAsia="zh-CN"/>
        </w:rPr>
        <w:t>退役军人事务局2023年</w:t>
      </w:r>
    </w:p>
    <w:p>
      <w:pPr>
        <w:numPr>
          <w:ilvl w:val="0"/>
          <w:numId w:val="0"/>
        </w:num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政府信息公开工作年度报告</w:t>
      </w:r>
    </w:p>
    <w:p>
      <w:pPr>
        <w:numPr>
          <w:ilvl w:val="0"/>
          <w:numId w:val="0"/>
        </w:numPr>
        <w:spacing w:line="560" w:lineRule="exact"/>
        <w:jc w:val="cente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val="en-US" w:eastAsia="zh-CN"/>
        </w:rPr>
        <w:t>退役军人事务</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color w:val="auto"/>
          <w:sz w:val="32"/>
          <w:szCs w:val="32"/>
          <w:lang w:val="en-US" w:eastAsia="zh-CN"/>
        </w:rPr>
        <w:t>政府信息公开工作的基础上，编制了此报告。报告中所列数据统计期限自202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年1月1日起至202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年12月31日止。本年度报告的电子版，可以通过哈尔滨市人民政府门户网站→政府信息公开专栏查阅，网址为http://www.hrbfz.gov.cn/fzx/c111100/zfxxgklby_nb.shtml如对本报告有疑问，请联系方正县</w:t>
      </w:r>
      <w:r>
        <w:rPr>
          <w:rFonts w:hint="eastAsia" w:ascii="仿宋_GB2312" w:hAnsi="仿宋_GB2312" w:cs="仿宋_GB2312"/>
          <w:color w:val="auto"/>
          <w:sz w:val="32"/>
          <w:szCs w:val="32"/>
          <w:lang w:val="en-US" w:eastAsia="zh-CN"/>
        </w:rPr>
        <w:t>退役军人事务</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w:t>
      </w:r>
      <w:r>
        <w:rPr>
          <w:rFonts w:hint="eastAsia" w:ascii="仿宋_GB2312" w:hAnsi="仿宋_GB2312" w:eastAsia="仿宋_GB2312" w:cs="仿宋_GB2312"/>
          <w:color w:val="auto"/>
          <w:sz w:val="32"/>
          <w:szCs w:val="32"/>
          <w:lang w:val="en-US" w:eastAsia="zh-CN"/>
        </w:rPr>
        <w:t>，地址：哈尔滨市方正县</w:t>
      </w:r>
      <w:r>
        <w:rPr>
          <w:rFonts w:hint="eastAsia" w:ascii="仿宋_GB2312" w:hAnsi="仿宋_GB2312" w:cs="仿宋_GB2312"/>
          <w:color w:val="auto"/>
          <w:sz w:val="32"/>
          <w:szCs w:val="32"/>
          <w:lang w:val="en-US" w:eastAsia="zh-CN"/>
        </w:rPr>
        <w:t>人社局5014室</w:t>
      </w:r>
      <w:r>
        <w:rPr>
          <w:rFonts w:hint="eastAsia" w:ascii="仿宋_GB2312" w:hAnsi="仿宋_GB2312" w:eastAsia="仿宋_GB2312" w:cs="仿宋_GB2312"/>
          <w:color w:val="auto"/>
          <w:sz w:val="32"/>
          <w:szCs w:val="32"/>
          <w:lang w:val="en-US" w:eastAsia="zh-CN"/>
        </w:rPr>
        <w:t>，邮编：150800，电话：</w:t>
      </w:r>
      <w:r>
        <w:rPr>
          <w:rFonts w:hint="eastAsia" w:ascii="仿宋_GB2312" w:hAnsi="仿宋_GB2312" w:cs="仿宋_GB2312"/>
          <w:i w:val="0"/>
          <w:iCs w:val="0"/>
          <w:caps w:val="0"/>
          <w:color w:val="auto"/>
          <w:spacing w:val="0"/>
          <w:sz w:val="32"/>
          <w:szCs w:val="32"/>
          <w:u w:val="none"/>
          <w:shd w:val="clear" w:color="auto" w:fill="FFFFFF"/>
          <w:lang w:val="en-US" w:eastAsia="zh-CN"/>
        </w:rPr>
        <w:t>0451-57102409</w:t>
      </w:r>
      <w:r>
        <w:rPr>
          <w:rFonts w:hint="eastAsia" w:ascii="仿宋_GB2312" w:hAnsi="仿宋_GB2312" w:eastAsia="仿宋_GB2312" w:cs="仿宋_GB2312"/>
          <w:i w:val="0"/>
          <w:iCs w:val="0"/>
          <w:caps w:val="0"/>
          <w:color w:val="auto"/>
          <w:spacing w:val="0"/>
          <w:sz w:val="32"/>
          <w:szCs w:val="32"/>
          <w:u w:val="none"/>
          <w:shd w:val="clear" w:color="auto" w:fill="FFFFFF"/>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firstLine="640" w:firstLineChars="200"/>
        <w:jc w:val="both"/>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一、</w:t>
      </w:r>
      <w:r>
        <w:rPr>
          <w:rFonts w:hint="eastAsia" w:ascii="黑体" w:hAnsi="黑体" w:eastAsia="黑体" w:cs="黑体"/>
          <w:b w:val="0"/>
          <w:bCs w:val="0"/>
          <w:i w:val="0"/>
          <w:iCs w:val="0"/>
          <w:caps w:val="0"/>
          <w:color w:val="auto"/>
          <w:spacing w:val="0"/>
          <w:sz w:val="32"/>
          <w:szCs w:val="32"/>
          <w:shd w:val="clear" w:color="auto" w:fill="FFFFFF"/>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2023年，</w:t>
      </w:r>
      <w:r>
        <w:rPr>
          <w:rFonts w:hint="eastAsia" w:ascii="仿宋_GB2312" w:hAnsi="仿宋_GB2312" w:eastAsia="仿宋_GB2312" w:cs="仿宋_GB2312"/>
          <w:i w:val="0"/>
          <w:iCs w:val="0"/>
          <w:caps w:val="0"/>
          <w:color w:val="auto"/>
          <w:spacing w:val="0"/>
          <w:sz w:val="32"/>
          <w:szCs w:val="32"/>
          <w:shd w:val="clear" w:fill="FFFFFF"/>
          <w:lang w:eastAsia="zh-CN"/>
        </w:rPr>
        <w:t>方正县</w:t>
      </w:r>
      <w:r>
        <w:rPr>
          <w:rFonts w:hint="eastAsia" w:ascii="仿宋_GB2312" w:hAnsi="仿宋_GB2312" w:eastAsia="仿宋_GB2312" w:cs="仿宋_GB2312"/>
          <w:i w:val="0"/>
          <w:iCs w:val="0"/>
          <w:caps w:val="0"/>
          <w:color w:val="auto"/>
          <w:spacing w:val="0"/>
          <w:sz w:val="32"/>
          <w:szCs w:val="32"/>
          <w:shd w:val="clear" w:fill="FFFFFF"/>
        </w:rPr>
        <w:t>退役军人事务</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局以习近平新时代中国特色社会主义思想为指导，深入学习贯彻党的二十大精神，认真贯彻落实</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委</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政府决策部署，突出重点，深入推进退役军人事务公开</w:t>
      </w:r>
      <w:r>
        <w:rPr>
          <w:rFonts w:hint="eastAsia" w:ascii="仿宋_GB2312" w:hAnsi="仿宋_GB2312" w:cs="仿宋_GB2312"/>
          <w:i w:val="0"/>
          <w:iCs w:val="0"/>
          <w:caps w:val="0"/>
          <w:color w:val="auto"/>
          <w:spacing w:val="0"/>
          <w:sz w:val="32"/>
          <w:szCs w:val="32"/>
          <w:shd w:val="clear" w:fill="FFFFFF"/>
          <w:lang w:eastAsia="zh-CN"/>
        </w:rPr>
        <w:t>工作</w:t>
      </w:r>
      <w:r>
        <w:rPr>
          <w:rFonts w:hint="eastAsia" w:ascii="仿宋_GB2312" w:hAnsi="仿宋_GB2312" w:eastAsia="仿宋_GB2312" w:cs="仿宋_GB2312"/>
          <w:i w:val="0"/>
          <w:iCs w:val="0"/>
          <w:caps w:val="0"/>
          <w:color w:val="auto"/>
          <w:spacing w:val="0"/>
          <w:sz w:val="32"/>
          <w:szCs w:val="32"/>
          <w:shd w:val="clear" w:fill="FFFFFF"/>
        </w:rPr>
        <w:t>，有力推动了退役军人各项工作顺利开展。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楷体_GB2312" w:hAnsi="楷体_GB2312" w:eastAsia="楷体_GB2312" w:cs="楷体_GB2312"/>
          <w:b/>
          <w:bCs/>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主动公开方面</w:t>
      </w:r>
      <w:r>
        <w:rPr>
          <w:rFonts w:hint="eastAsia" w:ascii="仿宋_GB2312" w:hAnsi="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成立了政务公开工作领导小组，局长任组长，班子成员任副组长，局机关各科室和局属事业单位单位负责人为成员。领导组下设办公室在局办公室，办公室同志负责政务公开日常工作。与业务工作同部署、同检查、同考核。按照“谁分管、谁负责”的原则，进一步明确重点任务、具体措施和责任科室并认真组织实施。主动回应社会关切，包括退役军人相关政策、各类活动简报等群众普遍关心、涉及切身利益的热点问题、焦点问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cs="仿宋_GB2312"/>
          <w:b/>
          <w:bCs/>
          <w:i w:val="0"/>
          <w:iCs w:val="0"/>
          <w:caps w:val="0"/>
          <w:color w:val="auto"/>
          <w:spacing w:val="0"/>
          <w:sz w:val="32"/>
          <w:szCs w:val="32"/>
          <w:shd w:val="clear" w:color="auto" w:fill="FFFFFF"/>
          <w:lang w:eastAsia="zh-CN"/>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（二）依申请公开方面</w:t>
      </w:r>
      <w:r>
        <w:rPr>
          <w:rFonts w:hint="eastAsia" w:ascii="仿宋_GB2312" w:hAnsi="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rPr>
        <w:t>局紧扣新时代政务公开的目标要求，对照全</w:t>
      </w:r>
      <w:r>
        <w:rPr>
          <w:rFonts w:hint="eastAsia" w:ascii="仿宋_GB2312" w:hAnsi="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rPr>
        <w:t>政务公开工作要点，针对我局有关工作存在的短板弱项，抓住关键，突出重点，奋力突破，确保政务公开各项任务落到实处、见到实效。没有因政府信息公开引起的行政诉讼案件。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b w:val="0"/>
          <w:bCs w:val="0"/>
          <w:color w:val="auto"/>
          <w:spacing w:val="10"/>
          <w:kern w:val="0"/>
          <w:sz w:val="32"/>
          <w:szCs w:val="32"/>
          <w:lang w:eastAsia="zh-CN"/>
        </w:rPr>
        <w:t>（三）政府信息管理方面</w:t>
      </w:r>
      <w:r>
        <w:rPr>
          <w:rFonts w:hint="eastAsia" w:ascii="仿宋_GB2312" w:hAnsi="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fill="FFFFFF"/>
        </w:rPr>
        <w:t>按照“以公开为常态、不公开为例外”的总要求，依据《中华人民共和国政府信息公开条例》和《中华人民共和国保守国家秘密法》等法律法规，科学界定公开和不公开信息，所有公文公开的属性源头认定，信息公开流程均严格落实信息发布保密审查制度，坚持“先审查、后公开”，并按照“谁提供，谁审核，谁负责”的原则，把好质量审核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楷体_GB2312" w:hAnsi="楷体_GB2312" w:eastAsia="楷体_GB2312" w:cs="楷体_GB2312"/>
          <w:b w:val="0"/>
          <w:bCs w:val="0"/>
          <w:color w:val="auto"/>
          <w:spacing w:val="10"/>
          <w:kern w:val="0"/>
          <w:sz w:val="32"/>
          <w:szCs w:val="32"/>
          <w:lang w:val="en-US" w:eastAsia="zh-CN"/>
        </w:rPr>
        <w:t>（四）平台建设方面</w:t>
      </w:r>
      <w:r>
        <w:rPr>
          <w:rFonts w:hint="eastAsia" w:ascii="仿宋_GB2312" w:hAnsi="仿宋_GB2312" w:cs="仿宋_GB2312"/>
          <w:b w:val="0"/>
          <w:bCs w:val="0"/>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严格按照</w:t>
      </w:r>
      <w:r>
        <w:rPr>
          <w:rFonts w:hint="eastAsia" w:ascii="仿宋_GB2312" w:hAnsi="仿宋_GB2312" w:cs="仿宋_GB2312"/>
          <w:i w:val="0"/>
          <w:iCs w:val="0"/>
          <w:caps w:val="0"/>
          <w:color w:val="auto"/>
          <w:spacing w:val="0"/>
          <w:sz w:val="32"/>
          <w:szCs w:val="32"/>
          <w:shd w:val="clear" w:fill="FFFFFF"/>
          <w:lang w:val="en-US" w:eastAsia="zh-CN"/>
        </w:rPr>
        <w:t>政务信息工作要求</w:t>
      </w:r>
      <w:r>
        <w:rPr>
          <w:rFonts w:hint="default" w:ascii="仿宋_GB2312" w:hAnsi="仿宋_GB2312" w:eastAsia="仿宋_GB2312" w:cs="仿宋_GB2312"/>
          <w:i w:val="0"/>
          <w:iCs w:val="0"/>
          <w:caps w:val="0"/>
          <w:color w:val="auto"/>
          <w:spacing w:val="0"/>
          <w:sz w:val="32"/>
          <w:szCs w:val="32"/>
          <w:shd w:val="clear" w:fill="FFFFFF"/>
          <w:lang w:val="en-US" w:eastAsia="zh-CN"/>
        </w:rPr>
        <w:t>，确定专人负责</w:t>
      </w:r>
      <w:r>
        <w:rPr>
          <w:rFonts w:hint="eastAsia" w:ascii="仿宋_GB2312" w:hAnsi="仿宋_GB2312" w:cs="仿宋_GB2312"/>
          <w:i w:val="0"/>
          <w:iCs w:val="0"/>
          <w:caps w:val="0"/>
          <w:color w:val="auto"/>
          <w:spacing w:val="0"/>
          <w:sz w:val="32"/>
          <w:szCs w:val="32"/>
          <w:shd w:val="clear" w:fill="FFFFFF"/>
          <w:lang w:val="en-US" w:eastAsia="zh-CN"/>
        </w:rPr>
        <w:t>政府门户</w:t>
      </w:r>
      <w:r>
        <w:rPr>
          <w:rFonts w:hint="default" w:ascii="仿宋_GB2312" w:hAnsi="仿宋_GB2312" w:eastAsia="仿宋_GB2312" w:cs="仿宋_GB2312"/>
          <w:i w:val="0"/>
          <w:iCs w:val="0"/>
          <w:caps w:val="0"/>
          <w:color w:val="auto"/>
          <w:spacing w:val="0"/>
          <w:sz w:val="32"/>
          <w:szCs w:val="32"/>
          <w:shd w:val="clear" w:fill="FFFFFF"/>
          <w:lang w:val="en-US" w:eastAsia="zh-CN"/>
        </w:rPr>
        <w:t>网站日常</w:t>
      </w:r>
      <w:r>
        <w:rPr>
          <w:rFonts w:hint="eastAsia" w:ascii="仿宋_GB2312" w:hAnsi="仿宋_GB2312" w:cs="仿宋_GB2312"/>
          <w:i w:val="0"/>
          <w:iCs w:val="0"/>
          <w:caps w:val="0"/>
          <w:color w:val="auto"/>
          <w:spacing w:val="0"/>
          <w:sz w:val="32"/>
          <w:szCs w:val="32"/>
          <w:shd w:val="clear" w:fill="FFFFFF"/>
          <w:lang w:val="en-US" w:eastAsia="zh-CN"/>
        </w:rPr>
        <w:t>信息报送</w:t>
      </w:r>
      <w:r>
        <w:rPr>
          <w:rFonts w:hint="default" w:ascii="仿宋_GB2312" w:hAnsi="仿宋_GB2312" w:eastAsia="仿宋_GB2312" w:cs="仿宋_GB2312"/>
          <w:i w:val="0"/>
          <w:iCs w:val="0"/>
          <w:caps w:val="0"/>
          <w:color w:val="auto"/>
          <w:spacing w:val="0"/>
          <w:sz w:val="32"/>
          <w:szCs w:val="32"/>
          <w:shd w:val="clear" w:fill="FFFFFF"/>
          <w:lang w:val="en-US" w:eastAsia="zh-CN"/>
        </w:rPr>
        <w:t>，切实细化公开内容</w:t>
      </w:r>
      <w:r>
        <w:rPr>
          <w:rFonts w:hint="eastAsia" w:ascii="仿宋_GB2312" w:hAnsi="仿宋_GB2312" w:cs="仿宋_GB2312"/>
          <w:i w:val="0"/>
          <w:iCs w:val="0"/>
          <w:caps w:val="0"/>
          <w:color w:val="auto"/>
          <w:spacing w:val="0"/>
          <w:sz w:val="32"/>
          <w:szCs w:val="32"/>
          <w:shd w:val="clear" w:fill="FFFFFF"/>
          <w:lang w:val="en-US" w:eastAsia="zh-CN"/>
        </w:rPr>
        <w:t>，</w:t>
      </w:r>
      <w:r>
        <w:rPr>
          <w:rFonts w:hint="default" w:ascii="仿宋_GB2312" w:hAnsi="仿宋_GB2312" w:eastAsia="仿宋_GB2312" w:cs="仿宋_GB2312"/>
          <w:i w:val="0"/>
          <w:iCs w:val="0"/>
          <w:caps w:val="0"/>
          <w:color w:val="auto"/>
          <w:spacing w:val="0"/>
          <w:sz w:val="32"/>
          <w:szCs w:val="32"/>
          <w:shd w:val="clear" w:fill="FFFFFF"/>
          <w:lang w:val="en-US" w:eastAsia="zh-CN"/>
        </w:rPr>
        <w:t>全面提升</w:t>
      </w:r>
      <w:r>
        <w:rPr>
          <w:rFonts w:hint="eastAsia" w:ascii="仿宋_GB2312" w:hAnsi="仿宋_GB2312" w:cs="仿宋_GB2312"/>
          <w:i w:val="0"/>
          <w:iCs w:val="0"/>
          <w:caps w:val="0"/>
          <w:color w:val="auto"/>
          <w:spacing w:val="0"/>
          <w:sz w:val="32"/>
          <w:szCs w:val="32"/>
          <w:shd w:val="clear" w:fill="FFFFFF"/>
          <w:lang w:val="en-US" w:eastAsia="zh-CN"/>
        </w:rPr>
        <w:t>政府信</w:t>
      </w:r>
      <w:r>
        <w:rPr>
          <w:rFonts w:hint="eastAsia" w:ascii="仿宋_GB2312" w:hAnsi="仿宋_GB2312" w:cs="仿宋_GB2312"/>
          <w:b w:val="0"/>
          <w:bCs w:val="0"/>
          <w:i w:val="0"/>
          <w:iCs w:val="0"/>
          <w:caps w:val="0"/>
          <w:color w:val="auto"/>
          <w:spacing w:val="0"/>
          <w:sz w:val="32"/>
          <w:szCs w:val="32"/>
          <w:shd w:val="clear" w:fill="FFFFFF"/>
          <w:lang w:val="en-US" w:eastAsia="zh-CN"/>
        </w:rPr>
        <w:t>息公开</w:t>
      </w:r>
      <w:r>
        <w:rPr>
          <w:rFonts w:hint="default" w:ascii="仿宋_GB2312" w:hAnsi="仿宋_GB2312" w:eastAsia="仿宋_GB2312" w:cs="仿宋_GB2312"/>
          <w:b w:val="0"/>
          <w:bCs w:val="0"/>
          <w:i w:val="0"/>
          <w:iCs w:val="0"/>
          <w:caps w:val="0"/>
          <w:color w:val="auto"/>
          <w:spacing w:val="0"/>
          <w:sz w:val="32"/>
          <w:szCs w:val="32"/>
          <w:shd w:val="clear" w:fill="FFFFFF"/>
          <w:lang w:val="en-US" w:eastAsia="zh-CN"/>
        </w:rPr>
        <w:t>水平</w:t>
      </w:r>
      <w:r>
        <w:rPr>
          <w:rFonts w:hint="eastAsia" w:ascii="仿宋_GB2312" w:hAnsi="仿宋_GB2312" w:cs="仿宋_GB2312"/>
          <w:b w:val="0"/>
          <w:bCs w:val="0"/>
          <w:i w:val="0"/>
          <w:iCs w:val="0"/>
          <w:caps w:val="0"/>
          <w:color w:val="auto"/>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宋体" w:cs="宋体"/>
          <w:b w:val="0"/>
          <w:bCs w:val="0"/>
          <w:color w:val="auto"/>
          <w:spacing w:val="10"/>
          <w:kern w:val="0"/>
          <w:sz w:val="32"/>
          <w:szCs w:val="32"/>
          <w:lang w:val="en-US" w:eastAsia="zh-CN"/>
        </w:rPr>
        <w:t>（</w:t>
      </w:r>
      <w:r>
        <w:rPr>
          <w:rFonts w:hint="eastAsia" w:ascii="楷体_GB2312" w:hAnsi="楷体_GB2312" w:eastAsia="楷体_GB2312" w:cs="楷体_GB2312"/>
          <w:b w:val="0"/>
          <w:bCs w:val="0"/>
          <w:color w:val="auto"/>
          <w:spacing w:val="10"/>
          <w:kern w:val="0"/>
          <w:sz w:val="32"/>
          <w:szCs w:val="32"/>
          <w:lang w:val="en-US" w:eastAsia="zh-CN"/>
        </w:rPr>
        <w:t>五）监督保障方面</w:t>
      </w:r>
      <w:r>
        <w:rPr>
          <w:rFonts w:hint="eastAsia" w:ascii="仿宋_GB2312" w:hAnsi="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fill="FFFFFF"/>
        </w:rPr>
        <w:t>加强网上依申请公开工作，及时公开了退役军人事务局信息公开咨询和监督电话，便于群众咨询和监督。2023年，</w:t>
      </w:r>
      <w:r>
        <w:rPr>
          <w:rFonts w:hint="eastAsia" w:ascii="仿宋_GB2312" w:hAnsi="仿宋_GB2312" w:cs="仿宋_GB2312"/>
          <w:i w:val="0"/>
          <w:iCs w:val="0"/>
          <w:caps w:val="0"/>
          <w:color w:val="auto"/>
          <w:spacing w:val="0"/>
          <w:sz w:val="32"/>
          <w:szCs w:val="32"/>
          <w:shd w:val="clear" w:fill="FFFFFF"/>
          <w:lang w:eastAsia="zh-CN"/>
        </w:rPr>
        <w:t>方正县</w:t>
      </w:r>
      <w:r>
        <w:rPr>
          <w:rFonts w:hint="eastAsia" w:ascii="仿宋_GB2312" w:hAnsi="仿宋_GB2312" w:eastAsia="仿宋_GB2312" w:cs="仿宋_GB2312"/>
          <w:i w:val="0"/>
          <w:iCs w:val="0"/>
          <w:caps w:val="0"/>
          <w:color w:val="auto"/>
          <w:spacing w:val="0"/>
          <w:sz w:val="32"/>
          <w:szCs w:val="32"/>
          <w:shd w:val="clear" w:fill="FFFFFF"/>
        </w:rPr>
        <w:t>退役军人事务局未发生因不履行政务公开义务而发生的责任追究情况。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二、主动公开政府信息情况</w:t>
      </w:r>
    </w:p>
    <w:tbl>
      <w:tblPr>
        <w:tblStyle w:val="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9"/>
                <w:szCs w:val="19"/>
                <w:u w:val="none"/>
              </w:rPr>
            </w:pPr>
            <w:r>
              <w:rPr>
                <w:rFonts w:hint="eastAsia" w:ascii="宋体" w:hAnsi="宋体" w:eastAsia="宋体" w:cs="宋体"/>
                <w:i w:val="0"/>
                <w:iCs w:val="0"/>
                <w:color w:val="auto"/>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32"/>
                <w:szCs w:val="32"/>
                <w:u w:val="none"/>
              </w:rPr>
            </w:pPr>
            <w:r>
              <w:rPr>
                <w:rFonts w:hint="default" w:ascii="Times New Roman" w:hAnsi="Times New Roman" w:eastAsia="宋体" w:cs="Times New Roman"/>
                <w:i w:val="0"/>
                <w:iCs w:val="0"/>
                <w:color w:val="auto"/>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20" w:lineRule="atLeast"/>
        <w:ind w:right="0"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rFonts w:hint="eastAsia" w:eastAsia="仿宋_GB2312"/>
                <w:color w:val="auto"/>
                <w:sz w:val="21"/>
                <w:szCs w:val="21"/>
                <w:lang w:val="en-US" w:eastAsia="zh-CN"/>
              </w:rPr>
            </w:pPr>
            <w:r>
              <w:rPr>
                <w:rFonts w:hint="eastAsia"/>
                <w:color w:val="auto"/>
                <w:sz w:val="21"/>
                <w:szCs w:val="21"/>
                <w:lang w:val="en-US" w:eastAsia="zh-CN"/>
              </w:rPr>
              <w:t>2</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eastAsia" w:eastAsia="宋体" w:cs="Times New Roman"/>
                <w:i w:val="0"/>
                <w:iCs w:val="0"/>
                <w:color w:val="auto"/>
                <w:kern w:val="0"/>
                <w:sz w:val="24"/>
                <w:szCs w:val="24"/>
                <w:u w:val="none"/>
                <w:lang w:val="en-US" w:eastAsia="zh-CN" w:bidi="ar"/>
              </w:rPr>
              <w:t>2</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eastAsia" w:eastAsia="宋体" w:cs="Times New Roman"/>
                <w:i w:val="0"/>
                <w:iCs w:val="0"/>
                <w:color w:val="auto"/>
                <w:kern w:val="0"/>
                <w:sz w:val="24"/>
                <w:szCs w:val="24"/>
                <w:u w:val="none"/>
                <w:lang w:val="en-US" w:eastAsia="zh-CN" w:bidi="ar"/>
              </w:rPr>
              <w:t>2</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eastAsia" w:eastAsia="宋体" w:cs="Times New Roman"/>
                <w:i w:val="0"/>
                <w:iCs w:val="0"/>
                <w:color w:val="auto"/>
                <w:kern w:val="0"/>
                <w:sz w:val="24"/>
                <w:szCs w:val="24"/>
                <w:u w:val="none"/>
                <w:lang w:val="en-US" w:eastAsia="zh-CN" w:bidi="ar"/>
              </w:rPr>
              <w:t>2</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eastAsia" w:eastAsia="宋体" w:cs="Times New Roman"/>
                <w:i w:val="0"/>
                <w:iCs w:val="0"/>
                <w:color w:val="auto"/>
                <w:kern w:val="0"/>
                <w:sz w:val="24"/>
                <w:szCs w:val="24"/>
                <w:u w:val="none"/>
                <w:lang w:val="en-US" w:eastAsia="zh-CN" w:bidi="ar"/>
              </w:rPr>
              <w:t>2</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eastAsia" w:eastAsia="宋体" w:cs="Times New Roman"/>
                <w:i w:val="0"/>
                <w:iCs w:val="0"/>
                <w:color w:val="auto"/>
                <w:kern w:val="0"/>
                <w:sz w:val="24"/>
                <w:szCs w:val="24"/>
                <w:u w:val="none"/>
                <w:lang w:val="en-US" w:eastAsia="zh-CN" w:bidi="ar"/>
              </w:rPr>
              <w:t>2</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auto"/>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560" w:firstLineChars="200"/>
        <w:jc w:val="both"/>
        <w:rPr>
          <w:rFonts w:hint="eastAsia" w:ascii="黑体" w:hAnsi="黑体" w:eastAsia="黑体" w:cs="黑体"/>
          <w:b w:val="0"/>
          <w:bCs w:val="0"/>
          <w:color w:val="auto"/>
          <w:sz w:val="28"/>
          <w:szCs w:val="28"/>
        </w:rPr>
      </w:pPr>
      <w:r>
        <w:rPr>
          <w:rFonts w:hint="eastAsia" w:ascii="黑体" w:hAnsi="黑体" w:eastAsia="黑体" w:cs="黑体"/>
          <w:b w:val="0"/>
          <w:bCs w:val="0"/>
          <w:i w:val="0"/>
          <w:iCs w:val="0"/>
          <w:caps w:val="0"/>
          <w:color w:val="auto"/>
          <w:spacing w:val="0"/>
          <w:sz w:val="28"/>
          <w:szCs w:val="28"/>
          <w:shd w:val="clear" w:color="auto" w:fill="FFFFFF"/>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auto"/>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Style w:val="5"/>
          <w:rFonts w:ascii="楷体" w:hAnsi="楷体" w:eastAsia="楷体" w:cs="楷体"/>
          <w:b w:val="0"/>
          <w:bCs w:val="0"/>
          <w:i w:val="0"/>
          <w:iCs w:val="0"/>
          <w:caps w:val="0"/>
          <w:color w:val="auto"/>
          <w:spacing w:val="0"/>
          <w:sz w:val="32"/>
          <w:szCs w:val="32"/>
          <w:shd w:val="clear" w:fill="FFFFFF"/>
        </w:rPr>
        <w:t>（一）存在的主要问题。</w:t>
      </w:r>
      <w:r>
        <w:rPr>
          <w:rFonts w:hint="eastAsia" w:ascii="仿宋_GB2312" w:hAnsi="仿宋_GB2312" w:eastAsia="仿宋_GB2312" w:cs="仿宋_GB2312"/>
          <w:b w:val="0"/>
          <w:bCs w:val="0"/>
          <w:i w:val="0"/>
          <w:iCs w:val="0"/>
          <w:caps w:val="0"/>
          <w:color w:val="auto"/>
          <w:spacing w:val="0"/>
          <w:sz w:val="32"/>
          <w:szCs w:val="32"/>
          <w:shd w:val="clear" w:fill="FFFFFF"/>
        </w:rPr>
        <w:t>从事政务公开工作的人员经验不足</w:t>
      </w:r>
      <w:r>
        <w:rPr>
          <w:rFonts w:hint="eastAsia" w:ascii="仿宋_GB2312" w:hAnsi="仿宋_GB2312" w:cs="仿宋_GB2312"/>
          <w:b w:val="0"/>
          <w:bCs w:val="0"/>
          <w:i w:val="0"/>
          <w:iCs w:val="0"/>
          <w:caps w:val="0"/>
          <w:color w:val="auto"/>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eastAsia="仿宋_GB2312" w:cs="仿宋_GB2312"/>
          <w:i w:val="0"/>
          <w:iCs w:val="0"/>
          <w:caps w:val="0"/>
          <w:color w:val="auto"/>
          <w:spacing w:val="0"/>
          <w:sz w:val="32"/>
          <w:szCs w:val="32"/>
          <w:shd w:val="clear" w:fill="FFFFFF"/>
          <w:lang w:eastAsia="zh-CN"/>
        </w:rPr>
      </w:pPr>
      <w:r>
        <w:rPr>
          <w:rStyle w:val="5"/>
          <w:rFonts w:ascii="楷体" w:hAnsi="楷体" w:eastAsia="楷体" w:cs="楷体"/>
          <w:b w:val="0"/>
          <w:bCs w:val="0"/>
          <w:i w:val="0"/>
          <w:iCs w:val="0"/>
          <w:caps w:val="0"/>
          <w:color w:val="auto"/>
          <w:spacing w:val="0"/>
          <w:sz w:val="32"/>
          <w:szCs w:val="32"/>
          <w:shd w:val="clear" w:fill="FFFFFF"/>
        </w:rPr>
        <w:t>（二）具体的改进情况。</w:t>
      </w:r>
      <w:r>
        <w:rPr>
          <w:rFonts w:hint="eastAsia" w:ascii="仿宋_GB2312" w:hAnsi="仿宋_GB2312" w:eastAsia="仿宋_GB2312" w:cs="仿宋_GB2312"/>
          <w:i w:val="0"/>
          <w:iCs w:val="0"/>
          <w:caps w:val="0"/>
          <w:color w:val="auto"/>
          <w:spacing w:val="0"/>
          <w:sz w:val="32"/>
          <w:szCs w:val="32"/>
          <w:shd w:val="clear" w:fill="FFFFFF"/>
          <w:lang w:eastAsia="zh-CN"/>
        </w:rPr>
        <w:t>加强队伍建设，组织人员积极学习专项业务培训，进一步提高我</w:t>
      </w:r>
      <w:r>
        <w:rPr>
          <w:rFonts w:hint="eastAsia" w:ascii="仿宋_GB2312" w:hAnsi="仿宋_GB2312" w:cs="仿宋_GB2312"/>
          <w:i w:val="0"/>
          <w:iCs w:val="0"/>
          <w:caps w:val="0"/>
          <w:color w:val="auto"/>
          <w:spacing w:val="0"/>
          <w:sz w:val="32"/>
          <w:szCs w:val="32"/>
          <w:shd w:val="clear" w:fill="FFFFFF"/>
          <w:lang w:eastAsia="zh-CN"/>
        </w:rPr>
        <w:t>局</w:t>
      </w:r>
      <w:r>
        <w:rPr>
          <w:rFonts w:hint="eastAsia" w:ascii="仿宋_GB2312" w:hAnsi="仿宋_GB2312" w:eastAsia="仿宋_GB2312" w:cs="仿宋_GB2312"/>
          <w:i w:val="0"/>
          <w:iCs w:val="0"/>
          <w:caps w:val="0"/>
          <w:color w:val="auto"/>
          <w:spacing w:val="0"/>
          <w:sz w:val="32"/>
          <w:szCs w:val="32"/>
          <w:shd w:val="clear" w:fill="FFFFFF"/>
          <w:lang w:eastAsia="zh-CN"/>
        </w:rPr>
        <w:t>政务公开工作的能力和水平。</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其他需要报告的事项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cs="仿宋_GB2312"/>
          <w:i w:val="0"/>
          <w:iCs w:val="0"/>
          <w:caps w:val="0"/>
          <w:color w:val="auto"/>
          <w:spacing w:val="0"/>
          <w:sz w:val="32"/>
          <w:szCs w:val="32"/>
          <w:shd w:val="clear" w:fill="FFFFFF"/>
          <w:lang w:eastAsia="zh-CN"/>
        </w:rPr>
        <w:t>方正</w:t>
      </w:r>
      <w:r>
        <w:rPr>
          <w:rFonts w:hint="eastAsia" w:ascii="仿宋_GB2312" w:hAnsi="仿宋_GB2312" w:eastAsia="仿宋_GB2312" w:cs="仿宋_GB2312"/>
          <w:i w:val="0"/>
          <w:iCs w:val="0"/>
          <w:caps w:val="0"/>
          <w:color w:val="auto"/>
          <w:spacing w:val="0"/>
          <w:sz w:val="32"/>
          <w:szCs w:val="32"/>
          <w:shd w:val="clear" w:fill="FFFFFF"/>
        </w:rPr>
        <w:t>县</w:t>
      </w:r>
      <w:r>
        <w:rPr>
          <w:rFonts w:hint="eastAsia" w:ascii="仿宋_GB2312" w:hAnsi="仿宋_GB2312" w:cs="仿宋_GB2312"/>
          <w:i w:val="0"/>
          <w:iCs w:val="0"/>
          <w:caps w:val="0"/>
          <w:color w:val="auto"/>
          <w:spacing w:val="0"/>
          <w:sz w:val="32"/>
          <w:szCs w:val="32"/>
          <w:u w:val="none"/>
          <w:shd w:val="clear" w:color="auto" w:fill="FFFFFF"/>
          <w:lang w:val="en-US" w:eastAsia="zh-CN"/>
        </w:rPr>
        <w:t>退役军人事务</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局</w:t>
      </w:r>
      <w:r>
        <w:rPr>
          <w:rFonts w:hint="eastAsia" w:ascii="仿宋_GB2312" w:hAnsi="仿宋_GB2312" w:eastAsia="仿宋_GB2312" w:cs="仿宋_GB2312"/>
          <w:i w:val="0"/>
          <w:iCs w:val="0"/>
          <w:caps w:val="0"/>
          <w:color w:val="auto"/>
          <w:spacing w:val="0"/>
          <w:sz w:val="32"/>
          <w:szCs w:val="32"/>
          <w:shd w:val="clear" w:fill="FFFFFF"/>
        </w:rPr>
        <w:t>没有收取涉及政府信息公开申请的任何费用。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left"/>
        <w:rPr>
          <w:color w:val="auto"/>
        </w:rPr>
      </w:pP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F1B4"/>
    <w:multiLevelType w:val="singleLevel"/>
    <w:tmpl w:val="8168F1B4"/>
    <w:lvl w:ilvl="0" w:tentative="0">
      <w:start w:val="6"/>
      <w:numFmt w:val="chineseCounting"/>
      <w:suff w:val="nothing"/>
      <w:lvlText w:val="%1、"/>
      <w:lvlJc w:val="left"/>
      <w:rPr>
        <w:rFonts w:hint="eastAsia"/>
      </w:rPr>
    </w:lvl>
  </w:abstractNum>
  <w:abstractNum w:abstractNumId="1">
    <w:nsid w:val="2EC76799"/>
    <w:multiLevelType w:val="singleLevel"/>
    <w:tmpl w:val="2EC767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YWRmMGM4NDRmM2Y3ZTY3MWY0ZjU2MDY3YWFhMjIifQ=="/>
  </w:docVars>
  <w:rsids>
    <w:rsidRoot w:val="1E256E7D"/>
    <w:rsid w:val="19F75FE7"/>
    <w:rsid w:val="1DBB430B"/>
    <w:rsid w:val="1E256E7D"/>
    <w:rsid w:val="21718D1D"/>
    <w:rsid w:val="29143B49"/>
    <w:rsid w:val="39181A3A"/>
    <w:rsid w:val="43FC64B9"/>
    <w:rsid w:val="498A58E4"/>
    <w:rsid w:val="49AD3B5B"/>
    <w:rsid w:val="52946161"/>
    <w:rsid w:val="5C031DC6"/>
    <w:rsid w:val="5E146C58"/>
    <w:rsid w:val="5ECB77FB"/>
    <w:rsid w:val="5F750196"/>
    <w:rsid w:val="65C50131"/>
    <w:rsid w:val="6DDB5568"/>
    <w:rsid w:val="6E7E0126"/>
    <w:rsid w:val="6FD84D46"/>
    <w:rsid w:val="70D605B1"/>
    <w:rsid w:val="7AAD4830"/>
    <w:rsid w:val="7FF728ED"/>
    <w:rsid w:val="9EBD0B10"/>
    <w:rsid w:val="BDFC9B54"/>
    <w:rsid w:val="D1EF9FF8"/>
    <w:rsid w:val="D3FE0E50"/>
    <w:rsid w:val="DBFFADF3"/>
    <w:rsid w:val="EFF18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1458</Words>
  <Characters>1575</Characters>
  <Lines>0</Lines>
  <Paragraphs>0</Paragraphs>
  <TotalTime>13</TotalTime>
  <ScaleCrop>false</ScaleCrop>
  <LinksUpToDate>false</LinksUpToDate>
  <CharactersWithSpaces>1576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2021-12-30T18:39:00Z</dcterms:created>
  <dc:creator>Administrator</dc:creator>
  <cp:lastModifiedBy>greatwall</cp:lastModifiedBy>
  <dcterms:modified xsi:type="dcterms:W3CDTF">2024-02-02T10:25:22Z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BF8821FDB93D42B9B504A948D3CBD4E4</vt:lpwstr>
  </property>
</Properties>
</file>