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方正县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公安局2023年</w:t>
      </w:r>
    </w:p>
    <w:p>
      <w:pPr>
        <w:numPr>
          <w:ilvl w:val="0"/>
          <w:numId w:val="0"/>
        </w:num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依据《中华人民共和国政府信息公开条例》（中华人民共和国国务院令第711号，以下简称《条例》）的规定和国务院办公厅政府信息与政务公开办公室关于印发《中华人民共和国政府信息公开工作年度报告格式》的通知（国办公开办函〔2021〕30号，以下简称《通知》）有关规定，在认真总结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公安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局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（乡镇）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政府信息公开工作的基础上，编制了此报告。报告中所列数据统计期限自202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年1月1日起至202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年12月31日止。本年度报告的电子版，可以通过哈尔滨市人民政府门户网站→政府信息公开专栏查阅，网址为http://www.hrbfz.gov.cn/fzx/c111100/zfxxgklby_nb.shtml如</w:t>
      </w:r>
      <w:r>
        <w:rPr>
          <w:rFonts w:hint="eastAsia" w:ascii="仿宋_GB2312" w:hAnsi="仿宋_GB2312" w:eastAsia="仿宋_GB2312" w:cs="仿宋_GB2312"/>
          <w:sz w:val="32"/>
          <w:szCs w:val="32"/>
        </w:rPr>
        <w:t>如对本报告有疑问，请联系方正县公安局，地址：方正县方正镇山花街1号，邮编：150800，电话：0451-57129321。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（一）主动公开方面。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方正县公安局通过方正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县人民政府门户网站信息公开专栏和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公安微信公众号、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抖音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等新媒体形式推送公开信息。通过信息公开大力宣传了方正公安的良好形象，传递社会正能量，提高了综合处理应对能力。及时回应了人民群众关切的热点、难点，做到事事有回应，件件有答复。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县公安局没有收到在线申请依申请公开件。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完善政务公开制度，印发《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县公安局新媒体管理办法（试行）》的通知，规范和加强全局政务公开的建设管理。认真做好日常管理工作，遵守规定，严格审批，严格执行“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三级审批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”程序，未经审核的信息一律不得发布。建立保密管理责任制，严格遵守国家和公安机关有关保密管理相关规定，严禁发布涉密信息。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（四）平台建设方面。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组织机构、公开范围、公开形式、公开时限、公开程序、申请方式、监督方式等方面对政府信息公开工作进行了进一步明确，通过制定工作规范明确各相关部门职责，强化政务公开任务分工。根据上级要求，关停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方正看守所、拘留所、出入境微信公众号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，并将其资源有效整合到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方正县公安局微信公众号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，进一步降低了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（五）监督保障方面。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新媒体建设和使用情况纳入日常考核，落实责任人对信息发布前进行审核，发布后进行监测，对存在问题及时通报整改，并纳入年度队伍正规化考核范畴。202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县公安局利用微信、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抖音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等及时发布、转发权威信息，围绕群众关心的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户籍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出入境、车驾管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如何办理等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留言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开展宣传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和回复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，方便群众第一时间掌握相关内容。期间，我局未发生责任追究情况。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3"/>
        <w:tblW w:w="100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0"/>
        <w:gridCol w:w="2510"/>
        <w:gridCol w:w="2510"/>
        <w:gridCol w:w="25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本年制发件数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规章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7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等线" w:hAnsi="等线" w:eastAsia="等线" w:cs="等线"/>
                <w:color w:val="000000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color w:va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64" w:tblpY="571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941"/>
        <w:gridCol w:w="3206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44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34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692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企业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692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sz w:val="21"/>
                <w:szCs w:val="21"/>
              </w:rPr>
              <w:t>（区分处理的，只计这一情形，不计其他情形）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3.其他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59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1"/>
                <w:szCs w:val="21"/>
              </w:rPr>
            </w:pPr>
          </w:p>
        </w:tc>
        <w:tc>
          <w:tcPr>
            <w:tcW w:w="414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06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3"/>
        <w:tblpPr w:leftFromText="180" w:rightFromText="180" w:vertAnchor="text" w:horzAnchor="page" w:tblpX="1491" w:tblpY="132"/>
        <w:tblOverlap w:val="never"/>
        <w:tblW w:w="9750" w:type="dxa"/>
        <w:tblInd w:w="0" w:type="dxa"/>
        <w:tblBorders>
          <w:top w:val="single" w:color="A5A5A5" w:sz="6" w:space="0"/>
          <w:left w:val="single" w:color="A5A5A5" w:sz="6" w:space="0"/>
          <w:bottom w:val="single" w:color="A5A5A5" w:sz="6" w:space="0"/>
          <w:right w:val="single" w:color="A5A5A5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0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其他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尚未</w:t>
            </w:r>
            <w:r>
              <w:rPr>
                <w:color w:val="auto"/>
                <w:sz w:val="19"/>
                <w:szCs w:val="19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A5A5A5" w:sz="6" w:space="0"/>
            <w:left w:val="single" w:color="A5A5A5" w:sz="6" w:space="0"/>
            <w:bottom w:val="single" w:color="A5A5A5" w:sz="6" w:space="0"/>
            <w:right w:val="single" w:color="A5A5A5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（一）存在的主要问题。</w:t>
      </w:r>
      <w:r>
        <w:rPr>
          <w:rFonts w:hint="eastAsia" w:ascii="仿宋" w:hAnsi="仿宋" w:eastAsia="仿宋" w:cs="仿宋"/>
          <w:sz w:val="32"/>
          <w:szCs w:val="32"/>
        </w:rPr>
        <w:t>在政府信息公开工作当中，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sz w:val="32"/>
          <w:szCs w:val="32"/>
        </w:rPr>
        <w:t>政府信息公开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缺乏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重视和敏感</w:t>
      </w:r>
      <w:r>
        <w:rPr>
          <w:rFonts w:hint="eastAsia" w:ascii="仿宋" w:hAnsi="仿宋" w:eastAsia="仿宋" w:cs="仿宋"/>
          <w:sz w:val="32"/>
          <w:szCs w:val="32"/>
        </w:rPr>
        <w:t>性。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（二）具体的改进情况。</w:t>
      </w:r>
      <w:r>
        <w:rPr>
          <w:rFonts w:hint="eastAsia" w:ascii="仿宋" w:hAnsi="仿宋" w:eastAsia="仿宋" w:cs="仿宋"/>
          <w:sz w:val="32"/>
          <w:szCs w:val="32"/>
        </w:rPr>
        <w:t>针对上述问题，在今后的工作中，我局将按照《条例》的要求，提高思想认识。认真学习《条例》精神，进一步提高思想认识，不断增强做好政府信息公开工作的责任感和使命感。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180" w:afterAutospacing="0" w:line="420" w:lineRule="atLeast"/>
        <w:ind w:right="0" w:firstLine="640" w:firstLineChars="200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leftChars="0" w:right="0" w:rightChars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方正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val="en-US" w:eastAsia="zh-CN"/>
        </w:rPr>
        <w:t>公安局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没有收取涉及政府信息公开申请的任何费用。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936" w:firstLineChars="123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3672" w:firstLineChars="1530"/>
        <w:jc w:val="right"/>
      </w:pPr>
    </w:p>
    <w:sectPr>
      <w:pgSz w:w="11906" w:h="16838"/>
      <w:pgMar w:top="1134" w:right="1134" w:bottom="1134" w:left="1134" w:header="851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kYWRmMGM4NDRmM2Y3ZTY3MWY0ZjU2MDY3YWFhMjIifQ=="/>
  </w:docVars>
  <w:rsids>
    <w:rsidRoot w:val="1E256E7D"/>
    <w:rsid w:val="19F75FE7"/>
    <w:rsid w:val="1DBB430B"/>
    <w:rsid w:val="1E256E7D"/>
    <w:rsid w:val="21718D1D"/>
    <w:rsid w:val="29143B49"/>
    <w:rsid w:val="39181A3A"/>
    <w:rsid w:val="43FC64B9"/>
    <w:rsid w:val="518814F1"/>
    <w:rsid w:val="51FD68B8"/>
    <w:rsid w:val="52946161"/>
    <w:rsid w:val="5C031DC6"/>
    <w:rsid w:val="5C2A7C42"/>
    <w:rsid w:val="5E146C58"/>
    <w:rsid w:val="5ECB77FB"/>
    <w:rsid w:val="5ECF20FE"/>
    <w:rsid w:val="5F750196"/>
    <w:rsid w:val="6DDB5568"/>
    <w:rsid w:val="6E7E0126"/>
    <w:rsid w:val="6FD84D46"/>
    <w:rsid w:val="70D605B1"/>
    <w:rsid w:val="7AAD4830"/>
    <w:rsid w:val="7FFF9AB9"/>
    <w:rsid w:val="BDFC9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1458</Words>
  <Characters>1575</Characters>
  <Lines>0</Lines>
  <Paragraphs>0</Paragraphs>
  <TotalTime>59</TotalTime>
  <ScaleCrop>false</ScaleCrop>
  <LinksUpToDate>false</LinksUpToDate>
  <CharactersWithSpaces>1576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2021-12-30T02:39:00Z</dcterms:created>
  <dc:creator>Administrator</dc:creator>
  <cp:lastModifiedBy>茂十八</cp:lastModifiedBy>
  <dcterms:modified xsi:type="dcterms:W3CDTF">2024-01-22T08:09:37Z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BF8821FDB93D42B9B504A948D3CBD4E4</vt:lpwstr>
  </property>
</Properties>
</file>