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eastAsia="zh-CN"/>
        </w:rPr>
        <w:t>方正县会发镇</w:t>
      </w:r>
      <w:r>
        <w:rPr>
          <w:rFonts w:hint="eastAsia" w:ascii="方正小标宋简体" w:hAnsi="方正小标宋简体" w:eastAsia="方正小标宋简体" w:cs="方正小标宋简体"/>
          <w:sz w:val="36"/>
          <w:szCs w:val="36"/>
        </w:rPr>
        <w:t>20</w:t>
      </w:r>
      <w:r>
        <w:rPr>
          <w:rFonts w:hint="eastAsia" w:ascii="方正小标宋简体" w:hAnsi="方正小标宋简体" w:eastAsia="方正小标宋简体" w:cs="方正小标宋简体"/>
          <w:sz w:val="36"/>
          <w:szCs w:val="36"/>
          <w:lang w:val="en-US" w:eastAsia="zh-CN"/>
        </w:rPr>
        <w:t>20</w:t>
      </w:r>
      <w:r>
        <w:rPr>
          <w:rFonts w:hint="eastAsia" w:ascii="方正小标宋简体" w:hAnsi="方正小标宋简体" w:eastAsia="方正小标宋简体" w:cs="方正小标宋简体"/>
          <w:sz w:val="36"/>
          <w:szCs w:val="36"/>
        </w:rPr>
        <w:t>年政府信息公开工作</w:t>
      </w:r>
      <w:r>
        <w:rPr>
          <w:rFonts w:hint="eastAsia" w:ascii="方正小标宋简体" w:hAnsi="方正小标宋简体" w:eastAsia="方正小标宋简体" w:cs="方正小标宋简体"/>
          <w:sz w:val="36"/>
          <w:szCs w:val="36"/>
          <w:lang w:eastAsia="zh-CN"/>
        </w:rPr>
        <w:t>年度</w:t>
      </w:r>
      <w:r>
        <w:rPr>
          <w:rFonts w:hint="eastAsia" w:ascii="方正小标宋简体" w:hAnsi="方正小标宋简体" w:eastAsia="方正小标宋简体" w:cs="方正小标宋简体"/>
          <w:sz w:val="36"/>
          <w:szCs w:val="36"/>
        </w:rPr>
        <w:t>报告</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中华人民共和国政府信息公开条例》（中华人民共和国国务院令第711号，以下简称《条例》）规定和《国务院办公厅政府信息与政务公开办公室关于政府信息公开工作年度报告有关事项的通知》要求，现发布《</w:t>
      </w:r>
      <w:r>
        <w:rPr>
          <w:rFonts w:hint="eastAsia" w:ascii="仿宋_GB2312" w:hAnsi="仿宋_GB2312" w:eastAsia="仿宋_GB2312" w:cs="仿宋_GB2312"/>
          <w:sz w:val="32"/>
          <w:szCs w:val="32"/>
          <w:lang w:val="en-US" w:eastAsia="zh-CN"/>
        </w:rPr>
        <w:t>会发镇</w:t>
      </w:r>
      <w:r>
        <w:rPr>
          <w:rFonts w:hint="eastAsia" w:ascii="仿宋_GB2312" w:hAnsi="仿宋_GB2312" w:eastAsia="仿宋_GB2312" w:cs="仿宋_GB2312"/>
          <w:sz w:val="32"/>
          <w:szCs w:val="32"/>
          <w:lang w:eastAsia="zh-CN"/>
        </w:rPr>
        <w:t>2020</w:t>
      </w:r>
      <w:r>
        <w:rPr>
          <w:rFonts w:hint="eastAsia" w:ascii="仿宋_GB2312" w:hAnsi="仿宋_GB2312" w:eastAsia="仿宋_GB2312" w:cs="仿宋_GB2312"/>
          <w:sz w:val="32"/>
          <w:szCs w:val="32"/>
        </w:rPr>
        <w:t>年政府信息公开工作年度报告》。</w:t>
      </w:r>
    </w:p>
    <w:p>
      <w:pPr>
        <w:rPr>
          <w:rFonts w:hint="eastAsia" w:ascii="黑体" w:hAnsi="黑体" w:eastAsia="黑体" w:cs="黑体"/>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一、总体情况</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2020</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会发镇</w:t>
      </w:r>
      <w:r>
        <w:rPr>
          <w:rFonts w:hint="eastAsia" w:ascii="仿宋_GB2312" w:hAnsi="仿宋_GB2312" w:eastAsia="仿宋_GB2312" w:cs="仿宋_GB2312"/>
          <w:sz w:val="32"/>
          <w:szCs w:val="32"/>
        </w:rPr>
        <w:t>认真贯彻落实《条例》，按照黑龙江省人民政府办公厅</w:t>
      </w:r>
      <w:r>
        <w:rPr>
          <w:rFonts w:hint="eastAsia" w:ascii="仿宋_GB2312" w:hAnsi="仿宋_GB2312" w:eastAsia="仿宋_GB2312" w:cs="仿宋_GB2312"/>
          <w:sz w:val="32"/>
          <w:szCs w:val="32"/>
          <w:lang w:val="en-US" w:eastAsia="zh-CN"/>
        </w:rPr>
        <w:t>相关文件</w:t>
      </w:r>
      <w:r>
        <w:rPr>
          <w:rFonts w:hint="eastAsia" w:ascii="仿宋_GB2312" w:hAnsi="仿宋_GB2312" w:eastAsia="仿宋_GB2312" w:cs="仿宋_GB2312"/>
          <w:sz w:val="32"/>
          <w:szCs w:val="32"/>
        </w:rPr>
        <w:t>部署，坚持以公开为常态、不公开为例外，在主动公开、依申请公开、政府信息管理、政府信息公开平台建设、监督考核保障、学习贯彻新《条例》等方面，积极推进各项工作任务完成，不断提升政府信息公开工作质量。结合</w:t>
      </w:r>
      <w:r>
        <w:rPr>
          <w:rFonts w:hint="eastAsia" w:ascii="仿宋_GB2312" w:hAnsi="仿宋_GB2312" w:eastAsia="仿宋_GB2312" w:cs="仿宋_GB2312"/>
          <w:sz w:val="32"/>
          <w:szCs w:val="32"/>
          <w:lang w:eastAsia="zh-CN"/>
        </w:rPr>
        <w:t>全镇</w:t>
      </w:r>
      <w:r>
        <w:rPr>
          <w:rFonts w:hint="eastAsia" w:ascii="仿宋_GB2312" w:hAnsi="仿宋_GB2312" w:eastAsia="仿宋_GB2312" w:cs="仿宋_GB2312"/>
          <w:sz w:val="32"/>
          <w:szCs w:val="32"/>
        </w:rPr>
        <w:t>实际，制发《</w:t>
      </w:r>
      <w:r>
        <w:rPr>
          <w:rFonts w:hint="eastAsia" w:ascii="仿宋_GB2312" w:hAnsi="仿宋_GB2312" w:eastAsia="仿宋_GB2312" w:cs="仿宋_GB2312"/>
          <w:sz w:val="32"/>
          <w:szCs w:val="32"/>
          <w:lang w:eastAsia="zh-CN"/>
        </w:rPr>
        <w:t>会发镇</w:t>
      </w:r>
      <w:r>
        <w:rPr>
          <w:rFonts w:hint="eastAsia" w:ascii="仿宋_GB2312" w:hAnsi="仿宋_GB2312" w:eastAsia="仿宋_GB2312" w:cs="仿宋_GB2312"/>
          <w:sz w:val="32"/>
          <w:szCs w:val="32"/>
        </w:rPr>
        <w:t>人民政府办公厅关于印发</w:t>
      </w:r>
      <w:r>
        <w:rPr>
          <w:rFonts w:hint="eastAsia" w:ascii="仿宋_GB2312" w:hAnsi="仿宋_GB2312" w:eastAsia="仿宋_GB2312" w:cs="仿宋_GB2312"/>
          <w:sz w:val="32"/>
          <w:szCs w:val="32"/>
          <w:lang w:eastAsia="zh-CN"/>
        </w:rPr>
        <w:t>2020</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会发镇</w:t>
      </w:r>
      <w:r>
        <w:rPr>
          <w:rFonts w:hint="eastAsia" w:ascii="仿宋_GB2312" w:hAnsi="仿宋_GB2312" w:eastAsia="仿宋_GB2312" w:cs="仿宋_GB2312"/>
          <w:sz w:val="32"/>
          <w:szCs w:val="32"/>
        </w:rPr>
        <w:t>政务公开工作要点的通知》，突出重点，明确重点工作的公开事项和执行标准，有力指导</w:t>
      </w:r>
      <w:r>
        <w:rPr>
          <w:rFonts w:hint="eastAsia" w:ascii="仿宋_GB2312" w:hAnsi="仿宋_GB2312" w:eastAsia="仿宋_GB2312" w:cs="仿宋_GB2312"/>
          <w:sz w:val="32"/>
          <w:szCs w:val="32"/>
          <w:lang w:eastAsia="zh-CN"/>
        </w:rPr>
        <w:t>全镇</w:t>
      </w:r>
      <w:r>
        <w:rPr>
          <w:rFonts w:hint="eastAsia" w:ascii="仿宋_GB2312" w:hAnsi="仿宋_GB2312" w:eastAsia="仿宋_GB2312" w:cs="仿宋_GB2312"/>
          <w:sz w:val="32"/>
          <w:szCs w:val="32"/>
        </w:rPr>
        <w:t>政务公开工作开展，收到显著成效。</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一是</w:t>
      </w:r>
      <w:r>
        <w:rPr>
          <w:rFonts w:hint="eastAsia" w:ascii="仿宋_GB2312" w:hAnsi="仿宋_GB2312" w:eastAsia="仿宋_GB2312" w:cs="仿宋_GB2312"/>
          <w:sz w:val="32"/>
          <w:szCs w:val="32"/>
        </w:rPr>
        <w:t>多措并举拓宽公开渠道，加大主动公开力度。持续推进重点领域信息公开。监督</w:t>
      </w:r>
      <w:r>
        <w:rPr>
          <w:rFonts w:hint="eastAsia" w:ascii="仿宋_GB2312" w:hAnsi="仿宋_GB2312" w:eastAsia="仿宋_GB2312" w:cs="仿宋_GB2312"/>
          <w:sz w:val="32"/>
          <w:szCs w:val="32"/>
          <w:lang w:val="en-US" w:eastAsia="zh-CN"/>
        </w:rPr>
        <w:t>各</w:t>
      </w:r>
      <w:r>
        <w:rPr>
          <w:rFonts w:hint="eastAsia" w:ascii="仿宋_GB2312" w:hAnsi="仿宋_GB2312" w:eastAsia="仿宋_GB2312" w:cs="仿宋_GB2312"/>
          <w:sz w:val="32"/>
          <w:szCs w:val="32"/>
        </w:rPr>
        <w:t>部门及有关单位做好重大建设项目批准和实施、公共资源配置、社会公益事业建设、财政预决算等领域政府信息公开，维护好</w:t>
      </w:r>
      <w:r>
        <w:rPr>
          <w:rFonts w:hint="eastAsia" w:ascii="仿宋_GB2312" w:hAnsi="仿宋_GB2312" w:eastAsia="仿宋_GB2312" w:cs="仿宋_GB2312"/>
          <w:sz w:val="32"/>
          <w:szCs w:val="32"/>
          <w:lang w:eastAsia="zh-CN"/>
        </w:rPr>
        <w:t>会发镇</w:t>
      </w:r>
      <w:r>
        <w:rPr>
          <w:rFonts w:hint="eastAsia" w:ascii="仿宋_GB2312" w:hAnsi="仿宋_GB2312" w:eastAsia="仿宋_GB2312" w:cs="仿宋_GB2312"/>
          <w:sz w:val="32"/>
          <w:szCs w:val="32"/>
        </w:rPr>
        <w:t>政府</w:t>
      </w:r>
      <w:r>
        <w:rPr>
          <w:rFonts w:hint="eastAsia" w:ascii="仿宋_GB2312" w:hAnsi="仿宋_GB2312" w:eastAsia="仿宋_GB2312" w:cs="仿宋_GB2312"/>
          <w:sz w:val="32"/>
          <w:szCs w:val="32"/>
          <w:lang w:val="en-US" w:eastAsia="zh-CN"/>
        </w:rPr>
        <w:t>公众号</w:t>
      </w:r>
      <w:r>
        <w:rPr>
          <w:rFonts w:hint="eastAsia" w:ascii="仿宋_GB2312" w:hAnsi="仿宋_GB2312" w:eastAsia="仿宋_GB2312" w:cs="仿宋_GB2312"/>
          <w:sz w:val="32"/>
          <w:szCs w:val="32"/>
        </w:rPr>
        <w:t>所有内容，确保及时公开相关信息。</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二是</w:t>
      </w:r>
      <w:r>
        <w:rPr>
          <w:rFonts w:hint="eastAsia" w:ascii="仿宋_GB2312" w:hAnsi="仿宋_GB2312" w:eastAsia="仿宋_GB2312" w:cs="仿宋_GB2312"/>
          <w:sz w:val="32"/>
          <w:szCs w:val="32"/>
        </w:rPr>
        <w:t>建立健全长效管理机制，依法办理依申请公开。健全依申请公开工作制度。完善依申请公开受理工作流程，建立信息公开申请的接收、登记、审核、办理、答复、归档工作制度。</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三是</w:t>
      </w:r>
      <w:r>
        <w:rPr>
          <w:rFonts w:hint="eastAsia" w:ascii="仿宋_GB2312" w:hAnsi="仿宋_GB2312" w:eastAsia="仿宋_GB2312" w:cs="仿宋_GB2312"/>
          <w:sz w:val="32"/>
          <w:szCs w:val="32"/>
        </w:rPr>
        <w:t>严格制度及时清理规范性文件，加强政府信息管理。进一步加强政府信息发布核查制度。严格执行公开属性审查制度，无论是主动公开还是依申请公开都严把信息公开审查关，实现政务公开工作常态化、规范化、法制化。</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四是</w:t>
      </w:r>
      <w:r>
        <w:rPr>
          <w:rFonts w:hint="eastAsia" w:ascii="仿宋_GB2312" w:hAnsi="仿宋_GB2312" w:eastAsia="仿宋_GB2312" w:cs="仿宋_GB2312"/>
          <w:sz w:val="32"/>
          <w:szCs w:val="32"/>
        </w:rPr>
        <w:t>升级改版采用最新手段，完善公开平台载体建设。为进一步深化主动公开工作，持续完善市政府门户网站政府信息公开栏目，不断扩大公开范围，细化公开内容。</w:t>
      </w:r>
    </w:p>
    <w:p>
      <w:pPr>
        <w:ind w:firstLine="640"/>
        <w:rPr>
          <w:rFonts w:hint="eastAsia" w:ascii="黑体" w:hAnsi="黑体" w:eastAsia="黑体" w:cs="黑体"/>
          <w:b w:val="0"/>
          <w:bCs w:val="0"/>
          <w:sz w:val="32"/>
          <w:szCs w:val="32"/>
        </w:rPr>
      </w:pPr>
      <w:r>
        <w:rPr>
          <w:rFonts w:hint="eastAsia" w:ascii="黑体" w:hAnsi="黑体" w:eastAsia="黑体" w:cs="黑体"/>
          <w:b w:val="0"/>
          <w:bCs w:val="0"/>
          <w:sz w:val="32"/>
          <w:szCs w:val="32"/>
        </w:rPr>
        <w:t>二、主动公开政府信息情况</w:t>
      </w:r>
    </w:p>
    <w:p>
      <w:pPr>
        <w:ind w:firstLine="640"/>
        <w:rPr>
          <w:rFonts w:hint="eastAsia" w:ascii="仿宋_GB2312" w:hAnsi="仿宋_GB2312" w:eastAsia="仿宋_GB2312" w:cs="仿宋_GB2312"/>
          <w:sz w:val="32"/>
          <w:szCs w:val="32"/>
        </w:rPr>
      </w:pPr>
      <w:r>
        <w:drawing>
          <wp:inline distT="0" distB="0" distL="114300" distR="114300">
            <wp:extent cx="5270500" cy="6406515"/>
            <wp:effectExtent l="0" t="0" r="6350" b="1333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4"/>
                    <a:stretch>
                      <a:fillRect/>
                    </a:stretch>
                  </pic:blipFill>
                  <pic:spPr>
                    <a:xfrm>
                      <a:off x="0" y="0"/>
                      <a:ext cx="5270500" cy="6406515"/>
                    </a:xfrm>
                    <a:prstGeom prst="rect">
                      <a:avLst/>
                    </a:prstGeom>
                    <a:noFill/>
                    <a:ln>
                      <a:noFill/>
                    </a:ln>
                  </pic:spPr>
                </pic:pic>
              </a:graphicData>
            </a:graphic>
          </wp:inline>
        </w:drawing>
      </w:r>
    </w:p>
    <w:p>
      <w:pPr>
        <w:numPr>
          <w:ilvl w:val="0"/>
          <w:numId w:val="1"/>
        </w:numPr>
        <w:ind w:left="640" w:leftChars="0" w:firstLine="0" w:firstLineChars="0"/>
        <w:rPr>
          <w:rFonts w:hint="eastAsia" w:ascii="黑体" w:hAnsi="黑体" w:eastAsia="黑体" w:cs="黑体"/>
          <w:sz w:val="32"/>
          <w:szCs w:val="32"/>
        </w:rPr>
      </w:pPr>
      <w:r>
        <w:rPr>
          <w:rFonts w:hint="eastAsia" w:ascii="黑体" w:hAnsi="黑体" w:eastAsia="黑体" w:cs="黑体"/>
          <w:sz w:val="32"/>
          <w:szCs w:val="32"/>
        </w:rPr>
        <w:t>收到和处理政府信息公开申请情况</w:t>
      </w:r>
    </w:p>
    <w:p>
      <w:pPr>
        <w:numPr>
          <w:ilvl w:val="0"/>
          <w:numId w:val="0"/>
        </w:numPr>
        <w:ind w:left="640" w:leftChars="0"/>
        <w:rPr>
          <w:rFonts w:hint="eastAsia" w:ascii="仿宋_GB2312" w:hAnsi="仿宋_GB2312" w:eastAsia="仿宋_GB2312" w:cs="仿宋_GB2312"/>
          <w:sz w:val="32"/>
          <w:szCs w:val="32"/>
        </w:rPr>
      </w:pPr>
      <w:r>
        <w:drawing>
          <wp:inline distT="0" distB="0" distL="114300" distR="114300">
            <wp:extent cx="3419475" cy="7543800"/>
            <wp:effectExtent l="0" t="0" r="952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5"/>
                    <a:stretch>
                      <a:fillRect/>
                    </a:stretch>
                  </pic:blipFill>
                  <pic:spPr>
                    <a:xfrm>
                      <a:off x="0" y="0"/>
                      <a:ext cx="3419475" cy="7543800"/>
                    </a:xfrm>
                    <a:prstGeom prst="rect">
                      <a:avLst/>
                    </a:prstGeom>
                    <a:noFill/>
                    <a:ln>
                      <a:noFill/>
                    </a:ln>
                  </pic:spPr>
                </pic:pic>
              </a:graphicData>
            </a:graphic>
          </wp:inline>
        </w:drawing>
      </w:r>
    </w:p>
    <w:p>
      <w:pPr>
        <w:pStyle w:val="3"/>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8" w:lineRule="atLeast"/>
        <w:ind w:left="640" w:leftChars="0" w:right="0" w:firstLine="0" w:firstLineChars="0"/>
        <w:jc w:val="both"/>
        <w:rPr>
          <w:rFonts w:hint="eastAsia" w:ascii="黑体" w:hAnsi="宋体" w:eastAsia="黑体" w:cs="黑体"/>
          <w:i w:val="0"/>
          <w:caps w:val="0"/>
          <w:color w:val="auto"/>
          <w:spacing w:val="0"/>
          <w:sz w:val="32"/>
          <w:szCs w:val="32"/>
          <w:shd w:val="clear" w:fill="FFFFFF"/>
        </w:rPr>
      </w:pPr>
      <w:r>
        <w:rPr>
          <w:rFonts w:hint="eastAsia" w:ascii="黑体" w:hAnsi="宋体" w:eastAsia="黑体" w:cs="黑体"/>
          <w:i w:val="0"/>
          <w:caps w:val="0"/>
          <w:color w:val="auto"/>
          <w:spacing w:val="0"/>
          <w:sz w:val="32"/>
          <w:szCs w:val="32"/>
          <w:shd w:val="clear" w:fill="FFFFFF"/>
        </w:rPr>
        <w:t>政府信息公开行政复议、行政诉讼情况</w:t>
      </w:r>
    </w:p>
    <w:tbl>
      <w:tblPr>
        <w:tblStyle w:val="7"/>
        <w:tblW w:w="9214" w:type="dxa"/>
        <w:tblInd w:w="132" w:type="dxa"/>
        <w:shd w:val="clear" w:color="auto" w:fill="FFFFFF"/>
        <w:tblLayout w:type="fixed"/>
        <w:tblCellMar>
          <w:top w:w="0" w:type="dxa"/>
          <w:left w:w="0" w:type="dxa"/>
          <w:bottom w:w="0" w:type="dxa"/>
          <w:right w:w="0" w:type="dxa"/>
        </w:tblCellMar>
      </w:tblPr>
      <w:tblGrid>
        <w:gridCol w:w="900"/>
        <w:gridCol w:w="604"/>
        <w:gridCol w:w="604"/>
        <w:gridCol w:w="604"/>
        <w:gridCol w:w="658"/>
        <w:gridCol w:w="550"/>
        <w:gridCol w:w="605"/>
        <w:gridCol w:w="605"/>
        <w:gridCol w:w="605"/>
        <w:gridCol w:w="502"/>
        <w:gridCol w:w="709"/>
        <w:gridCol w:w="604"/>
        <w:gridCol w:w="530"/>
        <w:gridCol w:w="567"/>
        <w:gridCol w:w="567"/>
      </w:tblGrid>
      <w:tr>
        <w:tblPrEx>
          <w:shd w:val="clear" w:color="auto" w:fill="FFFFFF"/>
          <w:tblLayout w:type="fixed"/>
          <w:tblCellMar>
            <w:top w:w="0" w:type="dxa"/>
            <w:left w:w="0" w:type="dxa"/>
            <w:bottom w:w="0" w:type="dxa"/>
            <w:right w:w="0" w:type="dxa"/>
          </w:tblCellMar>
        </w:tblPrEx>
        <w:tc>
          <w:tcPr>
            <w:tcW w:w="3370" w:type="dxa"/>
            <w:gridSpan w:val="5"/>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default" w:ascii="Times New Roman" w:hAnsi="Times New Roman" w:cs="Times New Roman"/>
                <w:color w:val="auto"/>
                <w:sz w:val="21"/>
                <w:szCs w:val="21"/>
              </w:rPr>
            </w:pPr>
            <w:r>
              <w:rPr>
                <w:rFonts w:hint="eastAsia" w:ascii="宋体" w:hAnsi="宋体" w:eastAsia="宋体" w:cs="宋体"/>
                <w:i w:val="0"/>
                <w:caps w:val="0"/>
                <w:color w:val="auto"/>
                <w:spacing w:val="0"/>
                <w:sz w:val="20"/>
                <w:szCs w:val="20"/>
              </w:rPr>
              <w:t>行政复议</w:t>
            </w:r>
          </w:p>
        </w:tc>
        <w:tc>
          <w:tcPr>
            <w:tcW w:w="5844" w:type="dxa"/>
            <w:gridSpan w:val="10"/>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default" w:ascii="Times New Roman" w:hAnsi="Times New Roman" w:cs="Times New Roman"/>
                <w:color w:val="auto"/>
                <w:sz w:val="21"/>
                <w:szCs w:val="21"/>
              </w:rPr>
            </w:pPr>
            <w:r>
              <w:rPr>
                <w:rFonts w:hint="eastAsia" w:ascii="宋体" w:hAnsi="宋体" w:eastAsia="宋体" w:cs="宋体"/>
                <w:i w:val="0"/>
                <w:caps w:val="0"/>
                <w:color w:val="auto"/>
                <w:spacing w:val="0"/>
                <w:sz w:val="20"/>
                <w:szCs w:val="20"/>
              </w:rPr>
              <w:t>行政诉讼</w:t>
            </w:r>
          </w:p>
        </w:tc>
      </w:tr>
      <w:tr>
        <w:tblPrEx>
          <w:tblLayout w:type="fixed"/>
          <w:tblCellMar>
            <w:top w:w="0" w:type="dxa"/>
            <w:left w:w="0" w:type="dxa"/>
            <w:bottom w:w="0" w:type="dxa"/>
            <w:right w:w="0" w:type="dxa"/>
          </w:tblCellMar>
        </w:tblPrEx>
        <w:tc>
          <w:tcPr>
            <w:tcW w:w="900" w:type="dxa"/>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default" w:ascii="Times New Roman" w:hAnsi="Times New Roman" w:cs="Times New Roman"/>
                <w:color w:val="auto"/>
                <w:sz w:val="21"/>
                <w:szCs w:val="21"/>
              </w:rPr>
            </w:pPr>
            <w:r>
              <w:rPr>
                <w:rFonts w:hint="eastAsia" w:ascii="宋体" w:hAnsi="宋体" w:eastAsia="宋体" w:cs="宋体"/>
                <w:i w:val="0"/>
                <w:caps w:val="0"/>
                <w:color w:val="auto"/>
                <w:spacing w:val="0"/>
                <w:sz w:val="20"/>
                <w:szCs w:val="20"/>
              </w:rPr>
              <w:t>结果维持</w:t>
            </w:r>
          </w:p>
        </w:tc>
        <w:tc>
          <w:tcPr>
            <w:tcW w:w="604" w:type="dxa"/>
            <w:vMerge w:val="restart"/>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default" w:ascii="Times New Roman" w:hAnsi="Times New Roman" w:cs="Times New Roman"/>
                <w:color w:val="auto"/>
                <w:sz w:val="21"/>
                <w:szCs w:val="21"/>
              </w:rPr>
            </w:pPr>
            <w:r>
              <w:rPr>
                <w:rFonts w:hint="eastAsia" w:ascii="宋体" w:hAnsi="宋体" w:eastAsia="宋体" w:cs="宋体"/>
                <w:i w:val="0"/>
                <w:caps w:val="0"/>
                <w:color w:val="auto"/>
                <w:spacing w:val="0"/>
                <w:sz w:val="20"/>
                <w:szCs w:val="20"/>
              </w:rPr>
              <w:t>结果纠正</w:t>
            </w:r>
          </w:p>
        </w:tc>
        <w:tc>
          <w:tcPr>
            <w:tcW w:w="604" w:type="dxa"/>
            <w:vMerge w:val="restart"/>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default" w:ascii="Times New Roman" w:hAnsi="Times New Roman" w:cs="Times New Roman"/>
                <w:color w:val="auto"/>
                <w:sz w:val="21"/>
                <w:szCs w:val="21"/>
              </w:rPr>
            </w:pPr>
            <w:r>
              <w:rPr>
                <w:rFonts w:hint="eastAsia" w:ascii="宋体" w:hAnsi="宋体" w:eastAsia="宋体" w:cs="宋体"/>
                <w:i w:val="0"/>
                <w:caps w:val="0"/>
                <w:color w:val="auto"/>
                <w:spacing w:val="0"/>
                <w:sz w:val="20"/>
                <w:szCs w:val="20"/>
              </w:rPr>
              <w:t>其他结果</w:t>
            </w:r>
          </w:p>
        </w:tc>
        <w:tc>
          <w:tcPr>
            <w:tcW w:w="604" w:type="dxa"/>
            <w:vMerge w:val="restart"/>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default" w:ascii="Times New Roman" w:hAnsi="Times New Roman" w:cs="Times New Roman"/>
                <w:color w:val="auto"/>
                <w:sz w:val="21"/>
                <w:szCs w:val="21"/>
              </w:rPr>
            </w:pPr>
            <w:r>
              <w:rPr>
                <w:rFonts w:hint="eastAsia" w:ascii="宋体" w:hAnsi="宋体" w:eastAsia="宋体" w:cs="宋体"/>
                <w:i w:val="0"/>
                <w:caps w:val="0"/>
                <w:color w:val="auto"/>
                <w:spacing w:val="0"/>
                <w:sz w:val="20"/>
                <w:szCs w:val="20"/>
              </w:rPr>
              <w:t>尚未审结</w:t>
            </w:r>
          </w:p>
        </w:tc>
        <w:tc>
          <w:tcPr>
            <w:tcW w:w="658" w:type="dxa"/>
            <w:vMerge w:val="restart"/>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default" w:ascii="Times New Roman" w:hAnsi="Times New Roman" w:cs="Times New Roman"/>
                <w:color w:val="auto"/>
                <w:sz w:val="21"/>
                <w:szCs w:val="21"/>
              </w:rPr>
            </w:pPr>
            <w:r>
              <w:rPr>
                <w:rFonts w:hint="eastAsia" w:ascii="宋体" w:hAnsi="宋体" w:eastAsia="宋体" w:cs="宋体"/>
                <w:i w:val="0"/>
                <w:caps w:val="0"/>
                <w:color w:val="auto"/>
                <w:spacing w:val="0"/>
                <w:sz w:val="20"/>
                <w:szCs w:val="20"/>
              </w:rPr>
              <w:t>总计</w:t>
            </w:r>
          </w:p>
        </w:tc>
        <w:tc>
          <w:tcPr>
            <w:tcW w:w="2867" w:type="dxa"/>
            <w:gridSpan w:val="5"/>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default" w:ascii="Times New Roman" w:hAnsi="Times New Roman" w:cs="Times New Roman"/>
                <w:color w:val="auto"/>
                <w:sz w:val="21"/>
                <w:szCs w:val="21"/>
              </w:rPr>
            </w:pPr>
            <w:r>
              <w:rPr>
                <w:rFonts w:hint="eastAsia" w:ascii="宋体" w:hAnsi="宋体" w:eastAsia="宋体" w:cs="宋体"/>
                <w:i w:val="0"/>
                <w:caps w:val="0"/>
                <w:color w:val="auto"/>
                <w:spacing w:val="0"/>
                <w:sz w:val="20"/>
                <w:szCs w:val="20"/>
              </w:rPr>
              <w:t>未经复议直接起诉</w:t>
            </w:r>
          </w:p>
        </w:tc>
        <w:tc>
          <w:tcPr>
            <w:tcW w:w="2977" w:type="dxa"/>
            <w:gridSpan w:val="5"/>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default" w:ascii="Times New Roman" w:hAnsi="Times New Roman" w:cs="Times New Roman"/>
                <w:color w:val="auto"/>
                <w:sz w:val="21"/>
                <w:szCs w:val="21"/>
              </w:rPr>
            </w:pPr>
            <w:r>
              <w:rPr>
                <w:rFonts w:hint="eastAsia" w:ascii="宋体" w:hAnsi="宋体" w:eastAsia="宋体" w:cs="宋体"/>
                <w:i w:val="0"/>
                <w:caps w:val="0"/>
                <w:color w:val="auto"/>
                <w:spacing w:val="0"/>
                <w:sz w:val="20"/>
                <w:szCs w:val="20"/>
              </w:rPr>
              <w:t>复议后起诉</w:t>
            </w:r>
          </w:p>
        </w:tc>
      </w:tr>
      <w:tr>
        <w:tblPrEx>
          <w:tblLayout w:type="fixed"/>
          <w:tblCellMar>
            <w:top w:w="0" w:type="dxa"/>
            <w:left w:w="0" w:type="dxa"/>
            <w:bottom w:w="0" w:type="dxa"/>
            <w:right w:w="0" w:type="dxa"/>
          </w:tblCellMar>
        </w:tblPrEx>
        <w:tc>
          <w:tcPr>
            <w:tcW w:w="900"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微软雅黑" w:hAnsi="微软雅黑" w:eastAsia="微软雅黑" w:cs="微软雅黑"/>
                <w:i w:val="0"/>
                <w:caps w:val="0"/>
                <w:color w:val="auto"/>
                <w:spacing w:val="0"/>
                <w:sz w:val="19"/>
                <w:szCs w:val="19"/>
              </w:rPr>
            </w:pPr>
          </w:p>
        </w:tc>
        <w:tc>
          <w:tcPr>
            <w:tcW w:w="604"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微软雅黑" w:hAnsi="微软雅黑" w:eastAsia="微软雅黑" w:cs="微软雅黑"/>
                <w:i w:val="0"/>
                <w:caps w:val="0"/>
                <w:color w:val="auto"/>
                <w:spacing w:val="0"/>
                <w:sz w:val="19"/>
                <w:szCs w:val="19"/>
              </w:rPr>
            </w:pPr>
          </w:p>
        </w:tc>
        <w:tc>
          <w:tcPr>
            <w:tcW w:w="604"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微软雅黑" w:hAnsi="微软雅黑" w:eastAsia="微软雅黑" w:cs="微软雅黑"/>
                <w:i w:val="0"/>
                <w:caps w:val="0"/>
                <w:color w:val="auto"/>
                <w:spacing w:val="0"/>
                <w:sz w:val="19"/>
                <w:szCs w:val="19"/>
              </w:rPr>
            </w:pPr>
          </w:p>
        </w:tc>
        <w:tc>
          <w:tcPr>
            <w:tcW w:w="604"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微软雅黑" w:hAnsi="微软雅黑" w:eastAsia="微软雅黑" w:cs="微软雅黑"/>
                <w:i w:val="0"/>
                <w:caps w:val="0"/>
                <w:color w:val="auto"/>
                <w:spacing w:val="0"/>
                <w:sz w:val="19"/>
                <w:szCs w:val="19"/>
              </w:rPr>
            </w:pPr>
          </w:p>
        </w:tc>
        <w:tc>
          <w:tcPr>
            <w:tcW w:w="658"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微软雅黑" w:hAnsi="微软雅黑" w:eastAsia="微软雅黑" w:cs="微软雅黑"/>
                <w:i w:val="0"/>
                <w:caps w:val="0"/>
                <w:color w:val="auto"/>
                <w:spacing w:val="0"/>
                <w:sz w:val="19"/>
                <w:szCs w:val="19"/>
              </w:rPr>
            </w:pPr>
          </w:p>
        </w:tc>
        <w:tc>
          <w:tcPr>
            <w:tcW w:w="55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default" w:ascii="Times New Roman" w:hAnsi="Times New Roman" w:cs="Times New Roman"/>
                <w:color w:val="auto"/>
                <w:sz w:val="21"/>
                <w:szCs w:val="21"/>
              </w:rPr>
            </w:pPr>
            <w:r>
              <w:rPr>
                <w:rFonts w:hint="eastAsia" w:ascii="宋体" w:hAnsi="宋体" w:eastAsia="宋体" w:cs="宋体"/>
                <w:i w:val="0"/>
                <w:caps w:val="0"/>
                <w:color w:val="auto"/>
                <w:spacing w:val="0"/>
                <w:sz w:val="20"/>
                <w:szCs w:val="20"/>
              </w:rPr>
              <w:t>结果维持</w:t>
            </w:r>
          </w:p>
        </w:tc>
        <w:tc>
          <w:tcPr>
            <w:tcW w:w="60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default" w:ascii="Times New Roman" w:hAnsi="Times New Roman" w:cs="Times New Roman"/>
                <w:color w:val="auto"/>
                <w:sz w:val="21"/>
                <w:szCs w:val="21"/>
              </w:rPr>
            </w:pPr>
            <w:r>
              <w:rPr>
                <w:rFonts w:hint="eastAsia" w:ascii="宋体" w:hAnsi="宋体" w:eastAsia="宋体" w:cs="宋体"/>
                <w:i w:val="0"/>
                <w:caps w:val="0"/>
                <w:color w:val="auto"/>
                <w:spacing w:val="0"/>
                <w:sz w:val="20"/>
                <w:szCs w:val="20"/>
              </w:rPr>
              <w:t>结果纠正</w:t>
            </w:r>
          </w:p>
        </w:tc>
        <w:tc>
          <w:tcPr>
            <w:tcW w:w="60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default" w:ascii="Times New Roman" w:hAnsi="Times New Roman" w:cs="Times New Roman"/>
                <w:color w:val="auto"/>
                <w:sz w:val="21"/>
                <w:szCs w:val="21"/>
              </w:rPr>
            </w:pPr>
            <w:r>
              <w:rPr>
                <w:rFonts w:hint="eastAsia" w:ascii="宋体" w:hAnsi="宋体" w:eastAsia="宋体" w:cs="宋体"/>
                <w:i w:val="0"/>
                <w:caps w:val="0"/>
                <w:color w:val="auto"/>
                <w:spacing w:val="0"/>
                <w:sz w:val="20"/>
                <w:szCs w:val="20"/>
              </w:rPr>
              <w:t>其他结果</w:t>
            </w:r>
          </w:p>
        </w:tc>
        <w:tc>
          <w:tcPr>
            <w:tcW w:w="60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default" w:ascii="Times New Roman" w:hAnsi="Times New Roman" w:cs="Times New Roman"/>
                <w:color w:val="auto"/>
                <w:sz w:val="21"/>
                <w:szCs w:val="21"/>
              </w:rPr>
            </w:pPr>
            <w:r>
              <w:rPr>
                <w:rFonts w:hint="eastAsia" w:ascii="宋体" w:hAnsi="宋体" w:eastAsia="宋体" w:cs="宋体"/>
                <w:i w:val="0"/>
                <w:caps w:val="0"/>
                <w:color w:val="auto"/>
                <w:spacing w:val="0"/>
                <w:sz w:val="20"/>
                <w:szCs w:val="20"/>
              </w:rPr>
              <w:t>尚未审结</w:t>
            </w:r>
          </w:p>
        </w:tc>
        <w:tc>
          <w:tcPr>
            <w:tcW w:w="50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default" w:ascii="Times New Roman" w:hAnsi="Times New Roman" w:cs="Times New Roman"/>
                <w:color w:val="auto"/>
                <w:sz w:val="21"/>
                <w:szCs w:val="21"/>
              </w:rPr>
            </w:pPr>
            <w:r>
              <w:rPr>
                <w:rFonts w:hint="eastAsia" w:ascii="宋体" w:hAnsi="宋体" w:eastAsia="宋体" w:cs="宋体"/>
                <w:i w:val="0"/>
                <w:caps w:val="0"/>
                <w:color w:val="auto"/>
                <w:spacing w:val="0"/>
                <w:sz w:val="20"/>
                <w:szCs w:val="20"/>
              </w:rPr>
              <w:t>总计</w:t>
            </w:r>
          </w:p>
        </w:tc>
        <w:tc>
          <w:tcPr>
            <w:tcW w:w="709"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default" w:ascii="Times New Roman" w:hAnsi="Times New Roman" w:cs="Times New Roman"/>
                <w:color w:val="auto"/>
                <w:sz w:val="21"/>
                <w:szCs w:val="21"/>
              </w:rPr>
            </w:pPr>
            <w:r>
              <w:rPr>
                <w:rFonts w:hint="eastAsia" w:ascii="宋体" w:hAnsi="宋体" w:eastAsia="宋体" w:cs="宋体"/>
                <w:i w:val="0"/>
                <w:caps w:val="0"/>
                <w:color w:val="auto"/>
                <w:spacing w:val="0"/>
                <w:sz w:val="20"/>
                <w:szCs w:val="20"/>
              </w:rPr>
              <w:t>结果维持</w:t>
            </w:r>
          </w:p>
        </w:tc>
        <w:tc>
          <w:tcPr>
            <w:tcW w:w="604"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default" w:ascii="Times New Roman" w:hAnsi="Times New Roman" w:cs="Times New Roman"/>
                <w:color w:val="auto"/>
                <w:sz w:val="21"/>
                <w:szCs w:val="21"/>
              </w:rPr>
            </w:pPr>
            <w:r>
              <w:rPr>
                <w:rFonts w:hint="eastAsia" w:ascii="宋体" w:hAnsi="宋体" w:eastAsia="宋体" w:cs="宋体"/>
                <w:i w:val="0"/>
                <w:caps w:val="0"/>
                <w:color w:val="auto"/>
                <w:spacing w:val="0"/>
                <w:sz w:val="20"/>
                <w:szCs w:val="20"/>
              </w:rPr>
              <w:t>结果纠正</w:t>
            </w:r>
          </w:p>
        </w:tc>
        <w:tc>
          <w:tcPr>
            <w:tcW w:w="53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default" w:ascii="Times New Roman" w:hAnsi="Times New Roman" w:cs="Times New Roman"/>
                <w:color w:val="auto"/>
                <w:sz w:val="21"/>
                <w:szCs w:val="21"/>
              </w:rPr>
            </w:pPr>
            <w:r>
              <w:rPr>
                <w:rFonts w:hint="eastAsia" w:ascii="宋体" w:hAnsi="宋体" w:eastAsia="宋体" w:cs="宋体"/>
                <w:i w:val="0"/>
                <w:caps w:val="0"/>
                <w:color w:val="auto"/>
                <w:spacing w:val="0"/>
                <w:sz w:val="20"/>
                <w:szCs w:val="20"/>
              </w:rPr>
              <w:t>其他结果</w:t>
            </w:r>
          </w:p>
        </w:tc>
        <w:tc>
          <w:tcPr>
            <w:tcW w:w="56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default" w:ascii="Times New Roman" w:hAnsi="Times New Roman" w:cs="Times New Roman"/>
                <w:color w:val="auto"/>
                <w:sz w:val="21"/>
                <w:szCs w:val="21"/>
              </w:rPr>
            </w:pPr>
            <w:r>
              <w:rPr>
                <w:rFonts w:hint="eastAsia" w:ascii="宋体" w:hAnsi="宋体" w:eastAsia="宋体" w:cs="宋体"/>
                <w:i w:val="0"/>
                <w:caps w:val="0"/>
                <w:color w:val="auto"/>
                <w:spacing w:val="0"/>
                <w:sz w:val="20"/>
                <w:szCs w:val="20"/>
              </w:rPr>
              <w:t>尚未审结</w:t>
            </w:r>
          </w:p>
        </w:tc>
        <w:tc>
          <w:tcPr>
            <w:tcW w:w="56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default" w:ascii="Times New Roman" w:hAnsi="Times New Roman" w:cs="Times New Roman"/>
                <w:color w:val="auto"/>
                <w:sz w:val="21"/>
                <w:szCs w:val="21"/>
              </w:rPr>
            </w:pPr>
            <w:r>
              <w:rPr>
                <w:rFonts w:hint="eastAsia" w:ascii="宋体" w:hAnsi="宋体" w:eastAsia="宋体" w:cs="宋体"/>
                <w:i w:val="0"/>
                <w:caps w:val="0"/>
                <w:color w:val="auto"/>
                <w:spacing w:val="0"/>
                <w:sz w:val="20"/>
                <w:szCs w:val="20"/>
              </w:rPr>
              <w:t>总计</w:t>
            </w:r>
          </w:p>
        </w:tc>
      </w:tr>
      <w:tr>
        <w:tblPrEx>
          <w:tblLayout w:type="fixed"/>
          <w:tblCellMar>
            <w:top w:w="0" w:type="dxa"/>
            <w:left w:w="0" w:type="dxa"/>
            <w:bottom w:w="0" w:type="dxa"/>
            <w:right w:w="0" w:type="dxa"/>
          </w:tblCellMar>
        </w:tblPrEx>
        <w:tc>
          <w:tcPr>
            <w:tcW w:w="90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default" w:ascii="Times New Roman" w:hAnsi="Times New Roman" w:cs="Times New Roman"/>
                <w:color w:val="auto"/>
                <w:sz w:val="21"/>
                <w:szCs w:val="21"/>
              </w:rPr>
            </w:pPr>
            <w:r>
              <w:rPr>
                <w:rFonts w:hint="default" w:ascii="Calibri" w:hAnsi="Calibri" w:eastAsia="微软雅黑" w:cs="Calibri"/>
                <w:i w:val="0"/>
                <w:caps w:val="0"/>
                <w:color w:val="auto"/>
                <w:spacing w:val="0"/>
                <w:sz w:val="20"/>
                <w:szCs w:val="20"/>
              </w:rPr>
              <w:t> 0</w:t>
            </w:r>
          </w:p>
        </w:tc>
        <w:tc>
          <w:tcPr>
            <w:tcW w:w="604"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default" w:ascii="Times New Roman" w:hAnsi="Times New Roman" w:cs="Times New Roman"/>
                <w:color w:val="auto"/>
                <w:sz w:val="21"/>
                <w:szCs w:val="21"/>
              </w:rPr>
            </w:pPr>
            <w:r>
              <w:rPr>
                <w:rFonts w:hint="default" w:ascii="Calibri" w:hAnsi="Calibri" w:eastAsia="微软雅黑" w:cs="Calibri"/>
                <w:i w:val="0"/>
                <w:caps w:val="0"/>
                <w:color w:val="auto"/>
                <w:spacing w:val="0"/>
                <w:sz w:val="20"/>
                <w:szCs w:val="20"/>
              </w:rPr>
              <w:t>0 </w:t>
            </w:r>
          </w:p>
        </w:tc>
        <w:tc>
          <w:tcPr>
            <w:tcW w:w="604"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default" w:ascii="Times New Roman" w:hAnsi="Times New Roman" w:cs="Times New Roman"/>
                <w:color w:val="auto"/>
                <w:sz w:val="21"/>
                <w:szCs w:val="21"/>
              </w:rPr>
            </w:pPr>
            <w:r>
              <w:rPr>
                <w:rFonts w:hint="default" w:ascii="Calibri" w:hAnsi="Calibri" w:eastAsia="微软雅黑" w:cs="Calibri"/>
                <w:i w:val="0"/>
                <w:caps w:val="0"/>
                <w:color w:val="auto"/>
                <w:spacing w:val="0"/>
                <w:sz w:val="20"/>
                <w:szCs w:val="20"/>
              </w:rPr>
              <w:t> 0</w:t>
            </w:r>
          </w:p>
        </w:tc>
        <w:tc>
          <w:tcPr>
            <w:tcW w:w="604"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default" w:ascii="Times New Roman" w:hAnsi="Times New Roman" w:cs="Times New Roman"/>
                <w:color w:val="auto"/>
                <w:sz w:val="21"/>
                <w:szCs w:val="21"/>
              </w:rPr>
            </w:pPr>
            <w:r>
              <w:rPr>
                <w:rFonts w:hint="default" w:ascii="Calibri" w:hAnsi="Calibri" w:eastAsia="微软雅黑" w:cs="Calibri"/>
                <w:i w:val="0"/>
                <w:caps w:val="0"/>
                <w:color w:val="auto"/>
                <w:spacing w:val="0"/>
                <w:sz w:val="20"/>
                <w:szCs w:val="20"/>
              </w:rPr>
              <w:t> 0</w:t>
            </w:r>
          </w:p>
        </w:tc>
        <w:tc>
          <w:tcPr>
            <w:tcW w:w="658"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default" w:ascii="Times New Roman" w:hAnsi="Times New Roman" w:cs="Times New Roman"/>
                <w:color w:val="auto"/>
                <w:sz w:val="21"/>
                <w:szCs w:val="21"/>
              </w:rPr>
            </w:pPr>
            <w:r>
              <w:rPr>
                <w:rFonts w:hint="default" w:ascii="Calibri" w:hAnsi="Calibri" w:eastAsia="微软雅黑" w:cs="Calibri"/>
                <w:i w:val="0"/>
                <w:caps w:val="0"/>
                <w:color w:val="auto"/>
                <w:spacing w:val="0"/>
                <w:sz w:val="20"/>
                <w:szCs w:val="20"/>
              </w:rPr>
              <w:t> 0</w:t>
            </w:r>
          </w:p>
        </w:tc>
        <w:tc>
          <w:tcPr>
            <w:tcW w:w="55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default" w:ascii="Times New Roman" w:hAnsi="Times New Roman" w:cs="Times New Roman"/>
                <w:color w:val="auto"/>
                <w:sz w:val="21"/>
                <w:szCs w:val="21"/>
              </w:rPr>
            </w:pPr>
            <w:r>
              <w:rPr>
                <w:rFonts w:hint="default" w:ascii="Calibri" w:hAnsi="Calibri" w:eastAsia="微软雅黑" w:cs="Calibri"/>
                <w:i w:val="0"/>
                <w:caps w:val="0"/>
                <w:color w:val="auto"/>
                <w:spacing w:val="0"/>
                <w:sz w:val="20"/>
                <w:szCs w:val="20"/>
              </w:rPr>
              <w:t>0 </w:t>
            </w:r>
          </w:p>
        </w:tc>
        <w:tc>
          <w:tcPr>
            <w:tcW w:w="60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default" w:ascii="Times New Roman" w:hAnsi="Times New Roman" w:cs="Times New Roman"/>
                <w:color w:val="auto"/>
                <w:sz w:val="21"/>
                <w:szCs w:val="21"/>
              </w:rPr>
            </w:pPr>
            <w:r>
              <w:rPr>
                <w:rFonts w:hint="default" w:ascii="Calibri" w:hAnsi="Calibri" w:eastAsia="微软雅黑" w:cs="Calibri"/>
                <w:i w:val="0"/>
                <w:caps w:val="0"/>
                <w:color w:val="auto"/>
                <w:spacing w:val="0"/>
                <w:sz w:val="20"/>
                <w:szCs w:val="20"/>
              </w:rPr>
              <w:t> 0</w:t>
            </w:r>
          </w:p>
        </w:tc>
        <w:tc>
          <w:tcPr>
            <w:tcW w:w="60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default" w:ascii="Times New Roman" w:hAnsi="Times New Roman" w:cs="Times New Roman"/>
                <w:color w:val="auto"/>
                <w:sz w:val="21"/>
                <w:szCs w:val="21"/>
              </w:rPr>
            </w:pPr>
            <w:r>
              <w:rPr>
                <w:rFonts w:hint="default" w:ascii="Calibri" w:hAnsi="Calibri" w:eastAsia="微软雅黑" w:cs="Calibri"/>
                <w:i w:val="0"/>
                <w:caps w:val="0"/>
                <w:color w:val="auto"/>
                <w:spacing w:val="0"/>
                <w:sz w:val="20"/>
                <w:szCs w:val="20"/>
              </w:rPr>
              <w:t> 0</w:t>
            </w:r>
          </w:p>
        </w:tc>
        <w:tc>
          <w:tcPr>
            <w:tcW w:w="60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default" w:ascii="Times New Roman" w:hAnsi="Times New Roman" w:cs="Times New Roman"/>
                <w:color w:val="auto"/>
                <w:sz w:val="21"/>
                <w:szCs w:val="21"/>
              </w:rPr>
            </w:pPr>
            <w:r>
              <w:rPr>
                <w:rFonts w:hint="default" w:ascii="Calibri" w:hAnsi="Calibri" w:eastAsia="微软雅黑" w:cs="Calibri"/>
                <w:i w:val="0"/>
                <w:caps w:val="0"/>
                <w:color w:val="auto"/>
                <w:spacing w:val="0"/>
                <w:sz w:val="20"/>
                <w:szCs w:val="20"/>
              </w:rPr>
              <w:t> 0</w:t>
            </w:r>
          </w:p>
        </w:tc>
        <w:tc>
          <w:tcPr>
            <w:tcW w:w="50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default" w:ascii="Times New Roman" w:hAnsi="Times New Roman" w:cs="Times New Roman"/>
                <w:color w:val="auto"/>
                <w:sz w:val="21"/>
                <w:szCs w:val="21"/>
              </w:rPr>
            </w:pPr>
            <w:r>
              <w:rPr>
                <w:rFonts w:hint="default" w:ascii="Calibri" w:hAnsi="Calibri" w:eastAsia="微软雅黑" w:cs="Calibri"/>
                <w:i w:val="0"/>
                <w:caps w:val="0"/>
                <w:color w:val="auto"/>
                <w:spacing w:val="0"/>
                <w:sz w:val="20"/>
                <w:szCs w:val="20"/>
              </w:rPr>
              <w:t> 0</w:t>
            </w:r>
          </w:p>
        </w:tc>
        <w:tc>
          <w:tcPr>
            <w:tcW w:w="709"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default" w:ascii="Times New Roman" w:hAnsi="Times New Roman" w:cs="Times New Roman"/>
                <w:color w:val="auto"/>
                <w:sz w:val="21"/>
                <w:szCs w:val="21"/>
              </w:rPr>
            </w:pPr>
            <w:r>
              <w:rPr>
                <w:rFonts w:hint="default" w:ascii="Calibri" w:hAnsi="Calibri" w:eastAsia="微软雅黑" w:cs="Calibri"/>
                <w:i w:val="0"/>
                <w:caps w:val="0"/>
                <w:color w:val="auto"/>
                <w:spacing w:val="0"/>
                <w:sz w:val="20"/>
                <w:szCs w:val="20"/>
              </w:rPr>
              <w:t> 0</w:t>
            </w:r>
          </w:p>
        </w:tc>
        <w:tc>
          <w:tcPr>
            <w:tcW w:w="604"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default" w:ascii="Times New Roman" w:hAnsi="Times New Roman" w:cs="Times New Roman"/>
                <w:color w:val="auto"/>
                <w:sz w:val="21"/>
                <w:szCs w:val="21"/>
              </w:rPr>
            </w:pPr>
            <w:r>
              <w:rPr>
                <w:rFonts w:hint="default" w:ascii="Calibri" w:hAnsi="Calibri" w:eastAsia="微软雅黑" w:cs="Calibri"/>
                <w:i w:val="0"/>
                <w:caps w:val="0"/>
                <w:color w:val="auto"/>
                <w:spacing w:val="0"/>
                <w:sz w:val="20"/>
                <w:szCs w:val="20"/>
              </w:rPr>
              <w:t> 0</w:t>
            </w:r>
          </w:p>
        </w:tc>
        <w:tc>
          <w:tcPr>
            <w:tcW w:w="53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default" w:ascii="Times New Roman" w:hAnsi="Times New Roman" w:cs="Times New Roman"/>
                <w:color w:val="auto"/>
                <w:sz w:val="21"/>
                <w:szCs w:val="21"/>
              </w:rPr>
            </w:pPr>
            <w:r>
              <w:rPr>
                <w:rFonts w:hint="default" w:ascii="Calibri" w:hAnsi="Calibri" w:eastAsia="微软雅黑" w:cs="Calibri"/>
                <w:i w:val="0"/>
                <w:caps w:val="0"/>
                <w:color w:val="auto"/>
                <w:spacing w:val="0"/>
                <w:sz w:val="20"/>
                <w:szCs w:val="20"/>
              </w:rPr>
              <w:t>0 </w:t>
            </w:r>
          </w:p>
        </w:tc>
        <w:tc>
          <w:tcPr>
            <w:tcW w:w="56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default" w:ascii="Times New Roman" w:hAnsi="Times New Roman" w:cs="Times New Roman"/>
                <w:color w:val="auto"/>
                <w:sz w:val="21"/>
                <w:szCs w:val="21"/>
              </w:rPr>
            </w:pPr>
            <w:r>
              <w:rPr>
                <w:rFonts w:hint="default" w:ascii="Calibri" w:hAnsi="Calibri" w:eastAsia="微软雅黑" w:cs="Calibri"/>
                <w:i w:val="0"/>
                <w:caps w:val="0"/>
                <w:color w:val="auto"/>
                <w:spacing w:val="0"/>
                <w:sz w:val="20"/>
                <w:szCs w:val="20"/>
              </w:rPr>
              <w:t> 0</w:t>
            </w:r>
          </w:p>
        </w:tc>
        <w:tc>
          <w:tcPr>
            <w:tcW w:w="56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default" w:ascii="Times New Roman" w:hAnsi="Times New Roman" w:cs="Times New Roman"/>
                <w:color w:val="auto"/>
                <w:sz w:val="21"/>
                <w:szCs w:val="21"/>
              </w:rPr>
            </w:pPr>
            <w:r>
              <w:rPr>
                <w:rFonts w:hint="default" w:ascii="Calibri" w:hAnsi="Calibri" w:eastAsia="微软雅黑" w:cs="Calibri"/>
                <w:i w:val="0"/>
                <w:caps w:val="0"/>
                <w:color w:val="auto"/>
                <w:spacing w:val="0"/>
                <w:sz w:val="20"/>
                <w:szCs w:val="20"/>
              </w:rPr>
              <w:t> 0</w:t>
            </w:r>
          </w:p>
        </w:tc>
      </w:tr>
    </w:tbl>
    <w:p>
      <w:pPr>
        <w:rPr>
          <w:rFonts w:hint="eastAsia" w:ascii="仿宋_GB2312" w:hAnsi="仿宋_GB2312" w:eastAsia="仿宋_GB2312" w:cs="仿宋_GB2312"/>
          <w:sz w:val="32"/>
          <w:szCs w:val="32"/>
        </w:rPr>
      </w:pPr>
    </w:p>
    <w:p>
      <w:pPr>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五</w:t>
      </w:r>
      <w:r>
        <w:rPr>
          <w:rFonts w:hint="eastAsia" w:ascii="黑体" w:hAnsi="黑体" w:eastAsia="黑体" w:cs="黑体"/>
          <w:sz w:val="32"/>
          <w:szCs w:val="32"/>
        </w:rPr>
        <w:t>、存在的主要问题及改进情况</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会发镇</w:t>
      </w:r>
      <w:r>
        <w:rPr>
          <w:rFonts w:hint="eastAsia" w:ascii="仿宋_GB2312" w:hAnsi="仿宋_GB2312" w:eastAsia="仿宋_GB2312" w:cs="仿宋_GB2312"/>
          <w:sz w:val="32"/>
          <w:szCs w:val="32"/>
        </w:rPr>
        <w:t>认真贯彻落实新《条例》，全力推进国务院办公厅和省政府办公厅部署的各项工作任务，</w:t>
      </w:r>
      <w:r>
        <w:rPr>
          <w:rFonts w:hint="eastAsia" w:ascii="仿宋_GB2312" w:hAnsi="仿宋_GB2312" w:eastAsia="仿宋_GB2312" w:cs="仿宋_GB2312"/>
          <w:sz w:val="32"/>
          <w:szCs w:val="32"/>
          <w:lang w:eastAsia="zh-CN"/>
        </w:rPr>
        <w:t>全镇</w:t>
      </w:r>
      <w:r>
        <w:rPr>
          <w:rFonts w:hint="eastAsia" w:ascii="仿宋_GB2312" w:hAnsi="仿宋_GB2312" w:eastAsia="仿宋_GB2312" w:cs="仿宋_GB2312"/>
          <w:sz w:val="32"/>
          <w:szCs w:val="32"/>
        </w:rPr>
        <w:t>政务公开工作虽然取得了一定成效，但与社会公众的需求相比，依然存在一些问题和差距。主要表现在：基层政务公开质量有待提升，政务公开工作人员业务素质整体水平有待提高，政务公开平台建设有待继续加强。</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今后，</w:t>
      </w:r>
      <w:r>
        <w:rPr>
          <w:rFonts w:hint="eastAsia" w:ascii="仿宋_GB2312" w:hAnsi="仿宋_GB2312" w:eastAsia="仿宋_GB2312" w:cs="仿宋_GB2312"/>
          <w:sz w:val="32"/>
          <w:szCs w:val="32"/>
          <w:lang w:eastAsia="zh-CN"/>
        </w:rPr>
        <w:t>全镇</w:t>
      </w:r>
      <w:r>
        <w:rPr>
          <w:rFonts w:hint="eastAsia" w:ascii="仿宋_GB2312" w:hAnsi="仿宋_GB2312" w:eastAsia="仿宋_GB2312" w:cs="仿宋_GB2312"/>
          <w:sz w:val="32"/>
          <w:szCs w:val="32"/>
        </w:rPr>
        <w:t>将以习近平新时代中国特色社会主义思想为指导，认真学习党的十九大精神，深入贯彻实施《条例》，按照党中央国务院、省委省政府、市委市政府关于政务公开工作部署，持续推动新时代政务公开工作向纵深发展。</w:t>
      </w:r>
    </w:p>
    <w:p>
      <w:pPr>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六、其他需要报告的事项</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无其他需要报告的事项。</w:t>
      </w:r>
    </w:p>
    <w:p>
      <w:pPr>
        <w:ind w:firstLine="640" w:firstLineChars="200"/>
        <w:rPr>
          <w:rFonts w:hint="eastAsia" w:ascii="仿宋_GB2312" w:hAnsi="仿宋_GB2312" w:eastAsia="仿宋_GB2312" w:cs="仿宋_GB2312"/>
          <w:color w:val="auto"/>
          <w:sz w:val="32"/>
          <w:szCs w:val="32"/>
        </w:rPr>
      </w:pPr>
    </w:p>
    <w:p>
      <w:pPr>
        <w:ind w:firstLine="640" w:firstLineChars="200"/>
        <w:rPr>
          <w:rFonts w:hint="eastAsia" w:ascii="仿宋_GB2312" w:hAnsi="仿宋_GB2312" w:eastAsia="仿宋_GB2312" w:cs="仿宋_GB2312"/>
          <w:color w:val="auto"/>
          <w:sz w:val="32"/>
          <w:szCs w:val="32"/>
          <w:lang w:val="en-US" w:eastAsia="zh-CN"/>
        </w:rPr>
      </w:pPr>
    </w:p>
    <w:p>
      <w:pPr>
        <w:ind w:firstLine="640" w:firstLineChars="200"/>
        <w:jc w:val="right"/>
        <w:rPr>
          <w:rFonts w:hint="eastAsia" w:ascii="仿宋_GB2312" w:hAnsi="仿宋_GB2312" w:eastAsia="仿宋_GB2312" w:cs="仿宋_GB2312"/>
          <w:color w:val="auto"/>
          <w:sz w:val="32"/>
          <w:szCs w:val="32"/>
          <w:lang w:val="en-US" w:eastAsia="zh-CN"/>
        </w:rPr>
      </w:pPr>
      <w:bookmarkStart w:id="0" w:name="_GoBack"/>
      <w:r>
        <w:rPr>
          <w:rFonts w:hint="eastAsia" w:ascii="仿宋_GB2312" w:hAnsi="仿宋_GB2312" w:eastAsia="仿宋_GB2312" w:cs="仿宋_GB2312"/>
          <w:color w:val="auto"/>
          <w:sz w:val="32"/>
          <w:szCs w:val="32"/>
          <w:lang w:val="en-US" w:eastAsia="zh-CN"/>
        </w:rPr>
        <w:t>方正县会发镇人民政府</w:t>
      </w:r>
    </w:p>
    <w:p>
      <w:pPr>
        <w:ind w:firstLine="640" w:firstLineChars="200"/>
        <w:jc w:val="righ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2021年1月20日</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217D69F"/>
    <w:multiLevelType w:val="singleLevel"/>
    <w:tmpl w:val="F217D69F"/>
    <w:lvl w:ilvl="0" w:tentative="0">
      <w:start w:val="3"/>
      <w:numFmt w:val="chineseCounting"/>
      <w:suff w:val="nothing"/>
      <w:lvlText w:val="%1、"/>
      <w:lvlJc w:val="left"/>
      <w:pPr>
        <w:ind w:left="640" w:leftChars="0" w:firstLine="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EB19D2"/>
    <w:rsid w:val="0EEE3DE9"/>
    <w:rsid w:val="1D765A8C"/>
    <w:rsid w:val="3C1F3764"/>
    <w:rsid w:val="42CC2DC8"/>
    <w:rsid w:val="4E845C14"/>
    <w:rsid w:val="55626426"/>
    <w:rsid w:val="570D658D"/>
    <w:rsid w:val="5AB75C27"/>
    <w:rsid w:val="66E946B5"/>
    <w:rsid w:val="6E0522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2021-01-25T03:39:00Z</dcterms:created>
  <dc:creator>Lenovo</dc:creator>
  <cp:lastModifiedBy>Aileen</cp:lastModifiedBy>
  <dcterms:modified xsi:type="dcterms:W3CDTF">2021-02-09T10:20:30Z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