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i w:val="0"/>
          <w:caps w:val="0"/>
          <w:color w:val="3D3D3D"/>
          <w:spacing w:val="0"/>
          <w:sz w:val="36"/>
          <w:szCs w:val="36"/>
          <w:shd w:val="clear" w:fill="FFFFFF"/>
          <w:lang w:eastAsia="zh-CN"/>
        </w:rPr>
        <w:t>方正县统计</w:t>
      </w:r>
      <w:r>
        <w:rPr>
          <w:rFonts w:hint="eastAsia" w:ascii="方正小标宋简体" w:hAnsi="方正小标宋简体" w:eastAsia="方正小标宋简体" w:cs="方正小标宋简体"/>
          <w:b w:val="0"/>
          <w:bCs/>
          <w:i w:val="0"/>
          <w:caps w:val="0"/>
          <w:color w:val="3D3D3D"/>
          <w:spacing w:val="0"/>
          <w:sz w:val="36"/>
          <w:szCs w:val="36"/>
          <w:shd w:val="clear" w:fill="FFFFFF"/>
        </w:rPr>
        <w:t>局2020年政府信息公开工作年度报告</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度报告根据新修订的《中华人民共和国政府信息公开条例》（中华人民共和国国务院令第711号，以下简称新《条例》）和《国务院办公厅政府信息与政务公开办公室关于政府信息公开工作年度报告有关事项的通知》（国办公开办函[2019]60号）有关要求编制而成。报告中所列数据统计期限自2020年1月1日至2020年12月31日止。</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一、政府信息公开总体情况</w:t>
      </w:r>
      <w:r>
        <w:rPr>
          <w:rFonts w:hint="eastAsia" w:ascii="仿宋" w:hAnsi="仿宋" w:eastAsia="仿宋" w:cs="仿宋"/>
          <w:b/>
          <w:bCs/>
          <w:color w:val="auto"/>
          <w:sz w:val="32"/>
          <w:szCs w:val="32"/>
        </w:rPr>
        <w:br w:type="textWrapping"/>
      </w:r>
      <w:r>
        <w:rPr>
          <w:rFonts w:hint="eastAsia" w:ascii="仿宋" w:hAnsi="仿宋" w:eastAsia="仿宋" w:cs="仿宋"/>
          <w:color w:val="auto"/>
          <w:sz w:val="32"/>
          <w:szCs w:val="32"/>
        </w:rPr>
        <w:t>       2020年，</w:t>
      </w:r>
      <w:r>
        <w:rPr>
          <w:rFonts w:hint="eastAsia" w:ascii="仿宋" w:hAnsi="仿宋" w:eastAsia="仿宋" w:cs="仿宋"/>
          <w:color w:val="auto"/>
          <w:sz w:val="32"/>
          <w:szCs w:val="32"/>
          <w:lang w:eastAsia="zh-CN"/>
        </w:rPr>
        <w:t>县统计局</w:t>
      </w:r>
      <w:r>
        <w:rPr>
          <w:rFonts w:hint="eastAsia" w:ascii="仿宋" w:hAnsi="仿宋" w:eastAsia="仿宋" w:cs="仿宋"/>
          <w:color w:val="auto"/>
          <w:sz w:val="32"/>
          <w:szCs w:val="32"/>
        </w:rPr>
        <w:t>认真贯彻落实新《条例》和《通知》有关要求，在</w:t>
      </w:r>
      <w:r>
        <w:rPr>
          <w:rFonts w:hint="eastAsia" w:ascii="仿宋" w:hAnsi="仿宋" w:eastAsia="仿宋" w:cs="仿宋"/>
          <w:color w:val="auto"/>
          <w:sz w:val="32"/>
          <w:szCs w:val="32"/>
          <w:lang w:eastAsia="zh-CN"/>
        </w:rPr>
        <w:t>县政府</w:t>
      </w:r>
      <w:r>
        <w:rPr>
          <w:rFonts w:hint="eastAsia" w:ascii="仿宋" w:hAnsi="仿宋" w:eastAsia="仿宋" w:cs="仿宋"/>
          <w:color w:val="auto"/>
          <w:sz w:val="32"/>
          <w:szCs w:val="32"/>
        </w:rPr>
        <w:t>政务公开办的正确指导下，把政府信息公开列入单位重要的议事日程，把政务公开与本部门工作实际紧密结合，不断完善政务公开相关制度，强化工作机制，制发了《</w:t>
      </w:r>
      <w:r>
        <w:rPr>
          <w:rFonts w:hint="eastAsia" w:ascii="仿宋" w:hAnsi="仿宋" w:eastAsia="仿宋" w:cs="仿宋"/>
          <w:color w:val="auto"/>
          <w:sz w:val="32"/>
          <w:szCs w:val="32"/>
          <w:lang w:eastAsia="zh-CN"/>
        </w:rPr>
        <w:t>方正县统计局</w:t>
      </w:r>
      <w:r>
        <w:rPr>
          <w:rFonts w:hint="eastAsia" w:ascii="仿宋" w:hAnsi="仿宋" w:eastAsia="仿宋" w:cs="仿宋"/>
          <w:color w:val="auto"/>
          <w:sz w:val="32"/>
          <w:szCs w:val="32"/>
        </w:rPr>
        <w:t>2020年政务公开工作要点》，坚持依法公开的原则，不断扩大公开范围，增强工作透明度，做到应公开尽公开，推进我局政府信息公开工作取得积极进展。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（一）强化组织领导。根据局领导班子的调整情况，及时调整了我局政府信息公开工作领导小组，明确了由主要领导任组长，各分管领导任副组长，各</w:t>
      </w:r>
      <w:r>
        <w:rPr>
          <w:rFonts w:hint="eastAsia" w:ascii="仿宋" w:hAnsi="仿宋" w:eastAsia="仿宋" w:cs="仿宋"/>
          <w:color w:val="auto"/>
          <w:sz w:val="32"/>
          <w:szCs w:val="32"/>
          <w:lang w:eastAsia="zh-CN"/>
        </w:rPr>
        <w:t>股办队</w:t>
      </w:r>
      <w:r>
        <w:rPr>
          <w:rFonts w:hint="eastAsia" w:ascii="仿宋" w:hAnsi="仿宋" w:eastAsia="仿宋" w:cs="仿宋"/>
          <w:color w:val="auto"/>
          <w:sz w:val="32"/>
          <w:szCs w:val="32"/>
        </w:rPr>
        <w:t>负责人为成员，并明确了专人负责统筹做好政府信息公开工作。同时，将政府信息公开工作纳入局领导班子重要议事日程，主要领导定期听取信息公开情况汇报，研究部署政府信息公开工作，细化落实任务目标，责任到人，公开到位，形成了主要领导亲自抓，分管领导具体抓，责任</w:t>
      </w:r>
      <w:r>
        <w:rPr>
          <w:rFonts w:hint="eastAsia" w:ascii="仿宋" w:hAnsi="仿宋" w:eastAsia="仿宋" w:cs="仿宋"/>
          <w:color w:val="auto"/>
          <w:sz w:val="32"/>
          <w:szCs w:val="32"/>
          <w:lang w:eastAsia="zh-CN"/>
        </w:rPr>
        <w:t>股办队</w:t>
      </w:r>
      <w:r>
        <w:rPr>
          <w:rFonts w:hint="eastAsia" w:ascii="仿宋" w:hAnsi="仿宋" w:eastAsia="仿宋" w:cs="仿宋"/>
          <w:color w:val="auto"/>
          <w:sz w:val="32"/>
          <w:szCs w:val="32"/>
        </w:rPr>
        <w:t>抓落实的层层负责的良性工作机制。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规范工作程序。严格执行信息公开审批制度，对拟公开的信息必须经主管领导审签并登记备案；严格执行信息公开保密审查制度，对拟公开的政府信息，依法依规做好保密审查；严格执行主动公开制度、依申请公开制度等相关制度。我局的政府信息公开工作运行正常，政府信息公开咨询、申请以及答复工作顺利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（三）优化平台建设。按照</w:t>
      </w:r>
      <w:r>
        <w:rPr>
          <w:rFonts w:hint="eastAsia" w:ascii="仿宋" w:hAnsi="仿宋" w:eastAsia="仿宋" w:cs="仿宋"/>
          <w:color w:val="auto"/>
          <w:sz w:val="32"/>
          <w:szCs w:val="32"/>
          <w:lang w:eastAsia="zh-CN"/>
        </w:rPr>
        <w:t>县政府</w:t>
      </w:r>
      <w:r>
        <w:rPr>
          <w:rFonts w:hint="eastAsia" w:ascii="仿宋" w:hAnsi="仿宋" w:eastAsia="仿宋" w:cs="仿宋"/>
          <w:color w:val="auto"/>
          <w:sz w:val="32"/>
          <w:szCs w:val="32"/>
        </w:rPr>
        <w:t>“政府信息公开”专栏改版工作要求，为保障栏目信息充足，及时完成对新增的“政府信息公开制度”栏目信息上传录入和对“政府信息公开指南”栏目修改完善工作，确保在</w:t>
      </w:r>
      <w:r>
        <w:rPr>
          <w:rFonts w:hint="eastAsia" w:ascii="仿宋" w:hAnsi="仿宋" w:eastAsia="仿宋" w:cs="仿宋"/>
          <w:color w:val="auto"/>
          <w:sz w:val="32"/>
          <w:szCs w:val="32"/>
          <w:lang w:eastAsia="zh-CN"/>
        </w:rPr>
        <w:t>县政府</w:t>
      </w:r>
      <w:r>
        <w:rPr>
          <w:rFonts w:hint="eastAsia" w:ascii="仿宋" w:hAnsi="仿宋" w:eastAsia="仿宋" w:cs="仿宋"/>
          <w:color w:val="auto"/>
          <w:sz w:val="32"/>
          <w:szCs w:val="32"/>
        </w:rPr>
        <w:t>网站及时发布本机关职能、机构设置、领导信息及各类政策和工作信息，更好服务我市工业企业，助推工业经济发展。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二、政府信息主动公开情况</w:t>
      </w:r>
      <w:r>
        <w:rPr>
          <w:rFonts w:hint="eastAsia" w:ascii="仿宋" w:hAnsi="仿宋" w:eastAsia="仿宋" w:cs="仿宋"/>
          <w:b/>
          <w:bCs/>
          <w:color w:val="auto"/>
          <w:sz w:val="32"/>
          <w:szCs w:val="32"/>
        </w:rPr>
        <w:br w:type="textWrapping"/>
      </w:r>
      <w:r>
        <w:rPr>
          <w:rFonts w:hint="eastAsia" w:ascii="仿宋" w:hAnsi="仿宋" w:eastAsia="仿宋" w:cs="仿宋"/>
          <w:color w:val="auto"/>
          <w:sz w:val="32"/>
          <w:szCs w:val="32"/>
        </w:rPr>
        <w:t>       按照</w:t>
      </w:r>
      <w:r>
        <w:rPr>
          <w:rFonts w:hint="eastAsia" w:ascii="仿宋" w:hAnsi="仿宋" w:eastAsia="仿宋" w:cs="仿宋"/>
          <w:color w:val="auto"/>
          <w:sz w:val="32"/>
          <w:szCs w:val="32"/>
          <w:lang w:eastAsia="zh-CN"/>
        </w:rPr>
        <w:t>县政府</w:t>
      </w:r>
      <w:r>
        <w:rPr>
          <w:rFonts w:hint="eastAsia" w:ascii="仿宋" w:hAnsi="仿宋" w:eastAsia="仿宋" w:cs="仿宋"/>
          <w:color w:val="auto"/>
          <w:sz w:val="32"/>
          <w:szCs w:val="32"/>
        </w:rPr>
        <w:t>政务信息公开工作要求，我局规范信息公开程序，落实专人负责，及时发布、更新政务公开信息。2020年1-12月，在</w:t>
      </w:r>
      <w:r>
        <w:rPr>
          <w:rFonts w:hint="eastAsia" w:ascii="仿宋" w:hAnsi="仿宋" w:eastAsia="仿宋" w:cs="仿宋"/>
          <w:color w:val="auto"/>
          <w:sz w:val="32"/>
          <w:szCs w:val="32"/>
          <w:lang w:eastAsia="zh-CN"/>
        </w:rPr>
        <w:t>县政府</w:t>
      </w:r>
      <w:r>
        <w:rPr>
          <w:rFonts w:hint="eastAsia" w:ascii="仿宋" w:hAnsi="仿宋" w:eastAsia="仿宋" w:cs="仿宋"/>
          <w:color w:val="auto"/>
          <w:sz w:val="32"/>
          <w:szCs w:val="32"/>
        </w:rPr>
        <w:t>门户网站我局公开的工作动态、领导信息、机构职能、部门文件、政策解读、通知公告、财政信息、权责清单、其他等栏目，发布各类政务信息</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一是公开规范性文件。</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lang w:eastAsia="zh-CN"/>
        </w:rPr>
        <w:t>我局未制定规范性文件。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二是办理行政许可和其他对外管理服务事项。</w:t>
      </w:r>
      <w:r>
        <w:rPr>
          <w:rFonts w:hint="eastAsia" w:ascii="仿宋" w:hAnsi="仿宋" w:eastAsia="仿宋" w:cs="仿宋"/>
          <w:color w:val="auto"/>
          <w:sz w:val="32"/>
          <w:szCs w:val="32"/>
          <w:lang w:val="en-US" w:eastAsia="zh-CN"/>
        </w:rPr>
        <w:t>2020年我局未办理</w:t>
      </w:r>
      <w:r>
        <w:rPr>
          <w:rFonts w:hint="eastAsia" w:ascii="仿宋" w:hAnsi="仿宋" w:eastAsia="仿宋" w:cs="仿宋"/>
          <w:color w:val="auto"/>
          <w:sz w:val="32"/>
          <w:szCs w:val="32"/>
        </w:rPr>
        <w:t>行政许可和其他对外管理服务事项。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三是实施行政执法检查。</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局未开展行政执法检查。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四是行政事业性收费项目及其依据、标准。2020年我局无行政事业性收费项目。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五是政府集中采购项目的目录、标准及实施情况。2020年，我局涉及政府集中采购项目</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项，支付采购总金额</w:t>
      </w:r>
      <w:r>
        <w:rPr>
          <w:rFonts w:hint="eastAsia" w:ascii="仿宋" w:hAnsi="仿宋" w:eastAsia="仿宋" w:cs="仿宋"/>
          <w:color w:val="auto"/>
          <w:sz w:val="32"/>
          <w:szCs w:val="32"/>
          <w:lang w:val="en-US" w:eastAsia="zh-CN"/>
        </w:rPr>
        <w:t>70.57</w:t>
      </w:r>
      <w:r>
        <w:rPr>
          <w:rFonts w:hint="eastAsia" w:ascii="仿宋" w:hAnsi="仿宋" w:eastAsia="仿宋" w:cs="仿宋"/>
          <w:color w:val="auto"/>
          <w:sz w:val="32"/>
          <w:szCs w:val="32"/>
        </w:rPr>
        <w:t>万元。</w:t>
      </w:r>
    </w:p>
    <w:tbl>
      <w:tblPr>
        <w:tblStyle w:val="7"/>
        <w:tblpPr w:leftFromText="180" w:rightFromText="180" w:vertAnchor="text" w:horzAnchor="page" w:tblpX="1572" w:tblpY="769"/>
        <w:tblOverlap w:val="never"/>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77"/>
        <w:gridCol w:w="2443"/>
        <w:gridCol w:w="201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主动公开政府信息情况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信息内容</w:t>
            </w:r>
          </w:p>
        </w:tc>
        <w:tc>
          <w:tcPr>
            <w:tcW w:w="2443" w:type="dxa"/>
            <w:vMerge w:val="restart"/>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本年新制作数量</w:t>
            </w:r>
          </w:p>
        </w:tc>
        <w:tc>
          <w:tcPr>
            <w:tcW w:w="2015" w:type="dxa"/>
            <w:tcBorders>
              <w:top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443" w:type="dxa"/>
            <w:vMerge w:val="continue"/>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1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规章</w:t>
            </w:r>
          </w:p>
        </w:tc>
        <w:tc>
          <w:tcPr>
            <w:tcW w:w="24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规范性文件</w:t>
            </w:r>
          </w:p>
        </w:tc>
        <w:tc>
          <w:tcPr>
            <w:tcW w:w="24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8"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信息内容</w:t>
            </w:r>
          </w:p>
        </w:tc>
        <w:tc>
          <w:tcPr>
            <w:tcW w:w="2443" w:type="dxa"/>
            <w:tcBorders>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上一年项目数量</w:t>
            </w:r>
          </w:p>
        </w:tc>
        <w:tc>
          <w:tcPr>
            <w:tcW w:w="2015" w:type="dxa"/>
            <w:tcBorders>
              <w:top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行政许可</w:t>
            </w:r>
          </w:p>
        </w:tc>
        <w:tc>
          <w:tcPr>
            <w:tcW w:w="2443" w:type="dxa"/>
            <w:tcBorders>
              <w:top w:val="single" w:color="000000" w:sz="12" w:space="0"/>
              <w:left w:val="single" w:color="000000" w:sz="12" w:space="0"/>
              <w:bottom w:val="single" w:color="000000" w:sz="12"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8" w:hRule="atLeast"/>
        </w:trPr>
        <w:tc>
          <w:tcPr>
            <w:tcW w:w="1877" w:type="dxa"/>
            <w:tcBorders>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其他对外管理服务事项</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8"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信息内容</w:t>
            </w:r>
          </w:p>
        </w:tc>
        <w:tc>
          <w:tcPr>
            <w:tcW w:w="24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上一年项目数量</w:t>
            </w:r>
          </w:p>
        </w:tc>
        <w:tc>
          <w:tcPr>
            <w:tcW w:w="2015" w:type="dxa"/>
            <w:tcBorders>
              <w:top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行政处罚</w:t>
            </w:r>
          </w:p>
        </w:tc>
        <w:tc>
          <w:tcPr>
            <w:tcW w:w="2443" w:type="dxa"/>
            <w:tcBorders>
              <w:top w:val="single" w:color="000000" w:sz="12" w:space="0"/>
              <w:left w:val="single" w:color="000000" w:sz="12" w:space="0"/>
              <w:bottom w:val="single" w:color="000000" w:sz="12"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行政强制</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15" w:type="dxa"/>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2025"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信息内容</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上一年项目数量</w:t>
            </w:r>
          </w:p>
        </w:tc>
        <w:tc>
          <w:tcPr>
            <w:tcW w:w="4040"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8"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行政事业性收费</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c>
          <w:tcPr>
            <w:tcW w:w="4040"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8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信息内容</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采购项目数量</w:t>
            </w:r>
          </w:p>
        </w:tc>
        <w:tc>
          <w:tcPr>
            <w:tcW w:w="4040"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7" w:hRule="atLeast"/>
        </w:trPr>
        <w:tc>
          <w:tcPr>
            <w:tcW w:w="1877"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政府集中采购</w:t>
            </w:r>
          </w:p>
        </w:tc>
        <w:tc>
          <w:tcPr>
            <w:tcW w:w="2443" w:type="dxa"/>
            <w:tcBorders>
              <w:top w:val="single" w:color="000000" w:sz="12" w:space="0"/>
              <w:left w:val="single" w:color="000000" w:sz="12" w:space="0"/>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4040"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70.57万元</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三、收到和处理政府信息依申请公开情况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2020年，我局严格落实依申请公开的有关规定，及时公开相关内容，保证群众的知情权，全年共收到公民的申请公开事项</w:t>
      </w:r>
      <w:r>
        <w:rPr>
          <w:rFonts w:hint="eastAsia" w:ascii="仿宋" w:hAnsi="仿宋" w:eastAsia="仿宋" w:cs="仿宋"/>
          <w:sz w:val="32"/>
          <w:szCs w:val="32"/>
          <w:lang w:val="en-US" w:eastAsia="zh-CN"/>
        </w:rPr>
        <w:t>0</w:t>
      </w:r>
      <w:r>
        <w:rPr>
          <w:rFonts w:hint="eastAsia" w:ascii="仿宋" w:hAnsi="仿宋" w:eastAsia="仿宋" w:cs="仿宋"/>
          <w:sz w:val="32"/>
          <w:szCs w:val="32"/>
        </w:rPr>
        <w:t>件</w:t>
      </w:r>
      <w:bookmarkStart w:id="0" w:name="_GoBack"/>
      <w:bookmarkEnd w:id="0"/>
      <w:r>
        <w:rPr>
          <w:rFonts w:hint="eastAsia" w:ascii="仿宋" w:hAnsi="仿宋" w:eastAsia="仿宋" w:cs="仿宋"/>
          <w:sz w:val="32"/>
          <w:szCs w:val="32"/>
        </w:rPr>
        <w:t>。</w:t>
      </w:r>
    </w:p>
    <w:tbl>
      <w:tblPr>
        <w:tblStyle w:val="7"/>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16"/>
        <w:gridCol w:w="1206"/>
        <w:gridCol w:w="830"/>
        <w:gridCol w:w="938"/>
        <w:gridCol w:w="743"/>
        <w:gridCol w:w="743"/>
        <w:gridCol w:w="750"/>
        <w:gridCol w:w="746"/>
        <w:gridCol w:w="74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42" w:hRule="atLeast"/>
        </w:trPr>
        <w:tc>
          <w:tcPr>
            <w:tcW w:w="8260" w:type="dxa"/>
            <w:gridSpan w:val="10"/>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2852" w:type="dxa"/>
            <w:gridSpan w:val="3"/>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（本列数据的勾稽关系为：第一项加第二项之和，等于第三项加第四项之和）</w:t>
            </w:r>
          </w:p>
        </w:tc>
        <w:tc>
          <w:tcPr>
            <w:tcW w:w="5408" w:type="dxa"/>
            <w:gridSpan w:val="7"/>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2852"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938"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自</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人</w:t>
            </w:r>
          </w:p>
        </w:tc>
        <w:tc>
          <w:tcPr>
            <w:tcW w:w="3726" w:type="dxa"/>
            <w:gridSpan w:val="5"/>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法人或其他组织</w:t>
            </w:r>
          </w:p>
        </w:tc>
        <w:tc>
          <w:tcPr>
            <w:tcW w:w="7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6" w:hRule="atLeast"/>
        </w:trPr>
        <w:tc>
          <w:tcPr>
            <w:tcW w:w="2852"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938"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商业企业</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科研机构</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社会公益组织</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法律服务机构</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他</w:t>
            </w:r>
          </w:p>
        </w:tc>
        <w:tc>
          <w:tcPr>
            <w:tcW w:w="7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2852" w:type="dxa"/>
            <w:gridSpan w:val="3"/>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一、本年新收政府信息公开申请数量</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2852" w:type="dxa"/>
            <w:gridSpan w:val="3"/>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二、上年结转政府信息公开申请数量</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trPr>
        <w:tc>
          <w:tcPr>
            <w:tcW w:w="81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本</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年</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度</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办</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结</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果</w:t>
            </w:r>
          </w:p>
        </w:tc>
        <w:tc>
          <w:tcPr>
            <w:tcW w:w="2036"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（一）予以公开</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2036"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（二）部分公开（区分处理的，只计这一情形，不计其他情形）</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7"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不予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公开</w:t>
            </w: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1.属于国家秘密</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2"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2.其他法律行政法规禁止公开</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3.危及“三安全一稳定”</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9"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4.保护第三方合法权益</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5.属于三类内部事务信息</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9"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6.属于四类过程性信息</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9"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7.属于行政执法案卷</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9"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8.属于行政查询事项</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无法</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提供</w:t>
            </w: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1.本机关不掌握相关政府信息</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2"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2.没有现成信息需要另行制作</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3.补正后申请内容仍不明确</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（五）不予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处理</w:t>
            </w: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1.信访举报投诉类申请</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2.重复申请</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9"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3.要求提供公开出版物</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4.无正当理由大量反复申请</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1"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120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83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5.要求行政机关确认或重新出具已获取信息</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2036"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（六）其他处理</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81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tc>
        <w:tc>
          <w:tcPr>
            <w:tcW w:w="2036" w:type="dxa"/>
            <w:gridSpan w:val="2"/>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（七）总计</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3" w:hRule="atLeast"/>
        </w:trPr>
        <w:tc>
          <w:tcPr>
            <w:tcW w:w="2852" w:type="dxa"/>
            <w:gridSpan w:val="3"/>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四、结转下年度继续办理</w:t>
            </w:r>
          </w:p>
        </w:tc>
        <w:tc>
          <w:tcPr>
            <w:tcW w:w="938"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3"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5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6"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44"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四、政府信息公开被申请行政复议、提起行政诉讼情况</w:t>
      </w:r>
      <w:r>
        <w:rPr>
          <w:rFonts w:hint="eastAsia" w:ascii="仿宋" w:hAnsi="仿宋" w:eastAsia="仿宋" w:cs="仿宋"/>
          <w:b/>
          <w:bCs/>
          <w:sz w:val="32"/>
          <w:szCs w:val="32"/>
        </w:rPr>
        <w:br w:type="textWrapping"/>
      </w:r>
      <w:r>
        <w:rPr>
          <w:rFonts w:hint="eastAsia" w:ascii="仿宋" w:hAnsi="仿宋" w:eastAsia="仿宋" w:cs="仿宋"/>
          <w:sz w:val="32"/>
          <w:szCs w:val="32"/>
        </w:rPr>
        <w:t>       2020年，我局未发生行政复议和行政诉讼案件。</w:t>
      </w:r>
    </w:p>
    <w:tbl>
      <w:tblPr>
        <w:tblStyle w:val="7"/>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10"/>
        <w:gridCol w:w="610"/>
        <w:gridCol w:w="610"/>
        <w:gridCol w:w="610"/>
        <w:gridCol w:w="610"/>
        <w:gridCol w:w="610"/>
        <w:gridCol w:w="610"/>
        <w:gridCol w:w="610"/>
        <w:gridCol w:w="610"/>
        <w:gridCol w:w="610"/>
        <w:gridCol w:w="610"/>
        <w:gridCol w:w="610"/>
        <w:gridCol w:w="610"/>
        <w:gridCol w:w="61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43" w:hRule="atLeast"/>
        </w:trPr>
        <w:tc>
          <w:tcPr>
            <w:tcW w:w="9150" w:type="dxa"/>
            <w:gridSpan w:val="15"/>
            <w:tcBorders>
              <w:bottom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trPr>
        <w:tc>
          <w:tcPr>
            <w:tcW w:w="3050" w:type="dxa"/>
            <w:gridSpan w:val="5"/>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行政复议</w:t>
            </w:r>
          </w:p>
        </w:tc>
        <w:tc>
          <w:tcPr>
            <w:tcW w:w="6100" w:type="dxa"/>
            <w:gridSpan w:val="10"/>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trPr>
        <w:tc>
          <w:tcPr>
            <w:tcW w:w="610"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持</w:t>
            </w:r>
          </w:p>
        </w:tc>
        <w:tc>
          <w:tcPr>
            <w:tcW w:w="610"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正</w:t>
            </w:r>
          </w:p>
        </w:tc>
        <w:tc>
          <w:tcPr>
            <w:tcW w:w="610"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p>
        </w:tc>
        <w:tc>
          <w:tcPr>
            <w:tcW w:w="610"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p>
        </w:tc>
        <w:tc>
          <w:tcPr>
            <w:tcW w:w="610"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计</w:t>
            </w:r>
          </w:p>
        </w:tc>
        <w:tc>
          <w:tcPr>
            <w:tcW w:w="3050" w:type="dxa"/>
            <w:gridSpan w:val="5"/>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未经复议直接起诉</w:t>
            </w:r>
          </w:p>
        </w:tc>
        <w:tc>
          <w:tcPr>
            <w:tcW w:w="3050" w:type="dxa"/>
            <w:gridSpan w:val="5"/>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0" w:hRule="atLeast"/>
        </w:trPr>
        <w:tc>
          <w:tcPr>
            <w:tcW w:w="610"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tc>
        <w:tc>
          <w:tcPr>
            <w:tcW w:w="610"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tc>
        <w:tc>
          <w:tcPr>
            <w:tcW w:w="610"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tc>
        <w:tc>
          <w:tcPr>
            <w:tcW w:w="610"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tc>
        <w:tc>
          <w:tcPr>
            <w:tcW w:w="610"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持</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正</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计</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持</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正</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果</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结</w:t>
            </w: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2" w:hRule="atLeast"/>
        </w:trPr>
        <w:tc>
          <w:tcPr>
            <w:tcW w:w="610"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c>
          <w:tcPr>
            <w:tcW w:w="610" w:type="dxa"/>
            <w:tcBorders>
              <w:bottom w:val="single" w:color="000000" w:sz="12" w:space="0"/>
              <w:right w:val="single" w:color="000000" w:sz="12"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五、存在的问题及改进情况</w:t>
      </w:r>
      <w:r>
        <w:rPr>
          <w:rFonts w:hint="eastAsia" w:ascii="仿宋" w:hAnsi="仿宋" w:eastAsia="仿宋" w:cs="仿宋"/>
          <w:b/>
          <w:bCs/>
          <w:sz w:val="32"/>
          <w:szCs w:val="32"/>
        </w:rPr>
        <w:br w:type="textWrapping"/>
      </w:r>
      <w:r>
        <w:rPr>
          <w:rFonts w:hint="eastAsia" w:ascii="仿宋" w:hAnsi="仿宋" w:eastAsia="仿宋" w:cs="仿宋"/>
          <w:sz w:val="32"/>
          <w:szCs w:val="32"/>
        </w:rPr>
        <w:t>       2020年，我局在</w:t>
      </w:r>
      <w:r>
        <w:rPr>
          <w:rFonts w:hint="eastAsia" w:ascii="仿宋" w:hAnsi="仿宋" w:eastAsia="仿宋" w:cs="仿宋"/>
          <w:sz w:val="32"/>
          <w:szCs w:val="32"/>
          <w:lang w:eastAsia="zh-CN"/>
        </w:rPr>
        <w:t>县政府</w:t>
      </w:r>
      <w:r>
        <w:rPr>
          <w:rFonts w:hint="eastAsia" w:ascii="仿宋" w:hAnsi="仿宋" w:eastAsia="仿宋" w:cs="仿宋"/>
          <w:sz w:val="32"/>
          <w:szCs w:val="32"/>
        </w:rPr>
        <w:t>政务公开办的悉心指导和帮助下，在局党组的正确领导下，政务信息公开工作取得了一定的成绩，但与公众需求仍有差距。信息公开的范围和内容不够充实，公开的信息量也不够丰富等现象。我局将进一步完善政府信息公开的发布机制，丰富公开内容、创新工作方式，拓宽公开渠道，不断改进工作作风和方式方法，提高信息公开工作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2020年，我局</w:t>
      </w:r>
      <w:r>
        <w:rPr>
          <w:rFonts w:hint="eastAsia" w:ascii="仿宋" w:hAnsi="仿宋" w:eastAsia="仿宋" w:cs="仿宋"/>
          <w:sz w:val="32"/>
          <w:szCs w:val="32"/>
          <w:lang w:eastAsia="zh-CN"/>
        </w:rPr>
        <w:t>无其他需要报告事项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C5E49"/>
    <w:rsid w:val="1E4C6091"/>
    <w:rsid w:val="56CA1AA9"/>
    <w:rsid w:val="585D65DD"/>
    <w:rsid w:val="77CC5E49"/>
    <w:rsid w:val="7B06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2021-01-21T08:37:00Z</dcterms:created>
  <dc:creator>Administrator</dc:creator>
  <cp:lastModifiedBy>Aileen</cp:lastModifiedBy>
  <dcterms:modified xsi:type="dcterms:W3CDTF">2021-01-29T08:46:45Z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