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z w:val="30"/>
        </w:rPr>
      </w:pPr>
      <w:bookmarkStart w:id="1" w:name="_GoBack"/>
      <w:bookmarkStart w:id="0" w:name="_Toc24724705"/>
      <w:r>
        <w:rPr>
          <w:rFonts w:hint="eastAsia" w:ascii="黑体" w:hAnsi="黑体" w:eastAsia="黑体" w:cs="黑体"/>
          <w:b w:val="0"/>
          <w:bCs w:val="0"/>
          <w:sz w:val="30"/>
        </w:rPr>
        <w:t>公共资源交易领域基层政务公开标准目录</w:t>
      </w:r>
      <w:bookmarkEnd w:id="1"/>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pPr>
              <w:widowControl/>
              <w:jc w:val="left"/>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pPr>
              <w:widowControl/>
              <w:jc w:val="left"/>
              <w:rPr>
                <w:rFonts w:hint="eastAsia" w:ascii="黑体" w:hAnsi="宋体" w:eastAsia="黑体" w:cs="宋体"/>
                <w:kern w:val="0"/>
                <w:sz w:val="22"/>
              </w:rPr>
            </w:pPr>
          </w:p>
        </w:tc>
        <w:tc>
          <w:tcPr>
            <w:tcW w:w="2340" w:type="dxa"/>
            <w:vMerge w:val="continue"/>
            <w:noWrap w:val="0"/>
            <w:vAlign w:val="center"/>
          </w:tcPr>
          <w:p>
            <w:pPr>
              <w:widowControl/>
              <w:jc w:val="left"/>
              <w:rPr>
                <w:rFonts w:hint="eastAsia" w:ascii="黑体" w:hAnsi="宋体" w:eastAsia="黑体" w:cs="宋体"/>
                <w:kern w:val="0"/>
                <w:sz w:val="22"/>
              </w:rPr>
            </w:pPr>
          </w:p>
        </w:tc>
        <w:tc>
          <w:tcPr>
            <w:tcW w:w="1620" w:type="dxa"/>
            <w:vMerge w:val="continue"/>
            <w:noWrap w:val="0"/>
            <w:vAlign w:val="center"/>
          </w:tcPr>
          <w:p>
            <w:pPr>
              <w:widowControl/>
              <w:jc w:val="left"/>
              <w:rPr>
                <w:rFonts w:hint="eastAsia" w:ascii="黑体" w:hAnsi="宋体" w:eastAsia="黑体" w:cs="宋体"/>
                <w:kern w:val="0"/>
                <w:sz w:val="22"/>
              </w:rPr>
            </w:pPr>
          </w:p>
        </w:tc>
        <w:tc>
          <w:tcPr>
            <w:tcW w:w="956" w:type="dxa"/>
            <w:vMerge w:val="continue"/>
            <w:noWrap w:val="0"/>
            <w:vAlign w:val="center"/>
          </w:tcPr>
          <w:p>
            <w:pPr>
              <w:widowControl/>
              <w:jc w:val="left"/>
              <w:rPr>
                <w:rFonts w:ascii="黑体" w:hAnsi="宋体" w:eastAsia="黑体" w:cs="宋体"/>
                <w:kern w:val="0"/>
                <w:sz w:val="22"/>
              </w:rPr>
            </w:pPr>
          </w:p>
        </w:tc>
        <w:tc>
          <w:tcPr>
            <w:tcW w:w="18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■招标投标公共服务平台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sz w:val="18"/>
                <w:szCs w:val="18"/>
              </w:rPr>
            </w:pPr>
            <w:r>
              <w:rPr>
                <w:rFonts w:hint="eastAsia" w:ascii="仿宋_GB2312" w:hAnsi="宋体" w:eastAsia="仿宋_GB2312"/>
                <w:sz w:val="18"/>
                <w:szCs w:val="18"/>
              </w:rPr>
              <w:t>　</w:t>
            </w:r>
          </w:p>
          <w:p>
            <w:pPr>
              <w:jc w:val="center"/>
              <w:rPr>
                <w:rFonts w:hint="eastAsia" w:ascii="仿宋_GB2312" w:hAnsi="宋体" w:eastAsia="仿宋_GB2312"/>
                <w:sz w:val="18"/>
                <w:szCs w:val="18"/>
              </w:rPr>
            </w:pPr>
            <w:r>
              <w:rPr>
                <w:rFonts w:hint="eastAsia" w:ascii="仿宋_GB2312" w:hAnsi="宋体" w:eastAsia="仿宋_GB2312"/>
                <w:sz w:val="18"/>
                <w:szCs w:val="18"/>
              </w:rPr>
              <w:t>　</w:t>
            </w: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w:t>
            </w:r>
          </w:p>
          <w:p>
            <w:pPr>
              <w:rPr>
                <w:rFonts w:hint="eastAsia" w:ascii="仿宋_GB2312" w:hAnsi="宋体" w:eastAsia="仿宋_GB2312" w:cs="宋体"/>
                <w:sz w:val="18"/>
                <w:szCs w:val="18"/>
              </w:rPr>
            </w:pPr>
            <w:r>
              <w:rPr>
                <w:rFonts w:hint="eastAsia" w:ascii="仿宋_GB2312" w:hAnsi="宋体" w:eastAsia="仿宋_GB2312"/>
                <w:sz w:val="18"/>
                <w:szCs w:val="18"/>
              </w:rPr>
              <w:t>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中标</w:t>
            </w:r>
          </w:p>
          <w:p>
            <w:pPr>
              <w:rPr>
                <w:rFonts w:hint="eastAsia" w:ascii="仿宋_GB2312" w:hAnsi="宋体" w:eastAsia="仿宋_GB2312"/>
                <w:sz w:val="18"/>
                <w:szCs w:val="18"/>
              </w:rPr>
            </w:pPr>
            <w:r>
              <w:rPr>
                <w:rFonts w:hint="eastAsia" w:ascii="仿宋_GB2312" w:hAnsi="宋体" w:eastAsia="仿宋_GB2312"/>
                <w:sz w:val="18"/>
                <w:szCs w:val="18"/>
              </w:rPr>
              <w:t>候选人</w:t>
            </w:r>
          </w:p>
          <w:p>
            <w:pPr>
              <w:rPr>
                <w:rFonts w:hint="eastAsia" w:ascii="仿宋_GB2312" w:hAnsi="宋体" w:eastAsia="仿宋_GB2312" w:cs="宋体"/>
                <w:sz w:val="18"/>
                <w:szCs w:val="18"/>
              </w:rPr>
            </w:pPr>
            <w:r>
              <w:rPr>
                <w:rFonts w:hint="eastAsia" w:ascii="仿宋_GB2312" w:hAnsi="宋体" w:eastAsia="仿宋_GB2312"/>
                <w:sz w:val="18"/>
                <w:szCs w:val="18"/>
              </w:rPr>
              <w:t>公示</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noWrap w:val="0"/>
            <w:vAlign w:val="center"/>
          </w:tcPr>
          <w:p>
            <w:pPr>
              <w:rPr>
                <w:rFonts w:hint="eastAsia" w:ascii="仿宋_GB2312" w:hAnsi="宋体" w:eastAsia="仿宋_GB2312"/>
                <w:sz w:val="18"/>
                <w:szCs w:val="18"/>
              </w:rPr>
            </w:pPr>
          </w:p>
        </w:tc>
        <w:tc>
          <w:tcPr>
            <w:tcW w:w="162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continue"/>
            <w:noWrap w:val="0"/>
            <w:vAlign w:val="center"/>
          </w:tcPr>
          <w:p>
            <w:pPr>
              <w:jc w:val="center"/>
              <w:rPr>
                <w:rFonts w:hint="eastAsia" w:ascii="仿宋_GB2312" w:hAnsi="宋体" w:eastAsia="仿宋_GB2312"/>
                <w:sz w:val="18"/>
                <w:szCs w:val="18"/>
              </w:rPr>
            </w:pP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中标</w:t>
            </w:r>
          </w:p>
          <w:p>
            <w:pPr>
              <w:rPr>
                <w:rFonts w:hint="eastAsia" w:ascii="仿宋_GB2312" w:hAnsi="宋体" w:eastAsia="仿宋_GB2312"/>
                <w:sz w:val="18"/>
                <w:szCs w:val="18"/>
              </w:rPr>
            </w:pPr>
            <w:r>
              <w:rPr>
                <w:rFonts w:hint="eastAsia" w:ascii="仿宋_GB2312" w:hAnsi="宋体" w:eastAsia="仿宋_GB2312"/>
                <w:sz w:val="18"/>
                <w:szCs w:val="18"/>
              </w:rPr>
              <w:t>结果</w:t>
            </w:r>
          </w:p>
        </w:tc>
        <w:tc>
          <w:tcPr>
            <w:tcW w:w="336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noWrap w:val="0"/>
            <w:vAlign w:val="center"/>
          </w:tcPr>
          <w:p>
            <w:pPr>
              <w:jc w:val="center"/>
              <w:rPr>
                <w:rFonts w:hint="eastAsia" w:ascii="仿宋_GB2312" w:hAnsi="宋体" w:eastAsia="仿宋_GB2312"/>
                <w:sz w:val="18"/>
                <w:szCs w:val="18"/>
              </w:rPr>
            </w:pP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noWrap w:val="0"/>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noWrap w:val="0"/>
            <w:vAlign w:val="center"/>
          </w:tcPr>
          <w:p>
            <w:pPr>
              <w:rPr>
                <w:rFonts w:hint="eastAsia" w:ascii="仿宋_GB2312" w:eastAsia="仿宋_GB2312"/>
                <w:sz w:val="18"/>
                <w:szCs w:val="18"/>
              </w:rPr>
            </w:pP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noWrap w:val="0"/>
            <w:vAlign w:val="center"/>
          </w:tcPr>
          <w:p>
            <w:pPr>
              <w:rPr>
                <w:rFonts w:ascii="Wingdings 2" w:hAnsi="Wingdings 2" w:cs="宋体"/>
                <w:sz w:val="18"/>
                <w:szCs w:val="18"/>
              </w:rPr>
            </w:pPr>
          </w:p>
        </w:tc>
        <w:tc>
          <w:tcPr>
            <w:tcW w:w="720" w:type="dxa"/>
            <w:noWrap w:val="0"/>
            <w:vAlign w:val="center"/>
          </w:tcPr>
          <w:p>
            <w:pPr>
              <w:jc w:val="center"/>
              <w:rPr>
                <w:rFonts w:ascii="宋体" w:hAnsi="宋体" w:cs="宋体"/>
                <w:sz w:val="18"/>
                <w:szCs w:val="18"/>
              </w:rPr>
            </w:pPr>
            <w:r>
              <w:rPr>
                <w:rFonts w:hint="eastAsia"/>
                <w:sz w:val="18"/>
                <w:szCs w:val="18"/>
              </w:rPr>
              <w:t>√</w:t>
            </w:r>
          </w:p>
        </w:tc>
        <w:tc>
          <w:tcPr>
            <w:tcW w:w="900" w:type="dxa"/>
            <w:noWrap w:val="0"/>
            <w:vAlign w:val="center"/>
          </w:tcPr>
          <w:p>
            <w:pPr>
              <w:jc w:val="center"/>
              <w:rPr>
                <w:rFonts w:ascii="宋体" w:hAnsi="宋体" w:cs="宋体"/>
                <w:sz w:val="18"/>
                <w:szCs w:val="18"/>
              </w:rPr>
            </w:pPr>
            <w:r>
              <w:rPr>
                <w:rFonts w:hint="eastAsia"/>
                <w:sz w:val="18"/>
                <w:szCs w:val="18"/>
              </w:rPr>
              <w:t>　</w:t>
            </w:r>
          </w:p>
        </w:tc>
        <w:tc>
          <w:tcPr>
            <w:tcW w:w="788" w:type="dxa"/>
            <w:noWrap w:val="0"/>
            <w:vAlign w:val="center"/>
          </w:tcPr>
          <w:p>
            <w:pPr>
              <w:jc w:val="center"/>
              <w:rPr>
                <w:rFonts w:ascii="宋体" w:hAnsi="宋体" w:cs="宋体"/>
                <w:sz w:val="18"/>
                <w:szCs w:val="18"/>
              </w:rPr>
            </w:pPr>
            <w:r>
              <w:rPr>
                <w:rFonts w:hint="eastAsia"/>
                <w:sz w:val="18"/>
                <w:szCs w:val="18"/>
              </w:rPr>
              <w:t>√</w:t>
            </w:r>
          </w:p>
        </w:tc>
        <w:tc>
          <w:tcPr>
            <w:tcW w:w="900"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13</w:t>
            </w:r>
          </w:p>
          <w:p>
            <w:pPr>
              <w:jc w:val="center"/>
              <w:rPr>
                <w:rFonts w:hint="eastAsia" w:ascii="仿宋_GB2312" w:eastAsia="仿宋_GB2312"/>
                <w:sz w:val="18"/>
                <w:szCs w:val="18"/>
                <w:lang w:val="en-US" w:eastAsia="zh-CN"/>
              </w:rPr>
            </w:pP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w:t>
            </w:r>
            <w:r>
              <w:rPr>
                <w:rFonts w:hint="eastAsia" w:ascii="仿宋_GB2312" w:eastAsia="仿宋_GB2312"/>
                <w:sz w:val="18"/>
                <w:szCs w:val="18"/>
                <w:lang w:val="en-US" w:eastAsia="zh-CN"/>
              </w:rPr>
              <w:t>10天、3个工作日、</w:t>
            </w:r>
            <w:r>
              <w:rPr>
                <w:rFonts w:hint="eastAsia" w:ascii="仿宋_GB2312" w:eastAsia="仿宋_GB2312"/>
                <w:sz w:val="18"/>
                <w:szCs w:val="18"/>
              </w:rPr>
              <w:t>3个工作日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noWrap w:val="0"/>
            <w:vAlign w:val="center"/>
          </w:tcPr>
          <w:p>
            <w:pPr>
              <w:spacing w:line="240" w:lineRule="exact"/>
              <w:rPr>
                <w:rFonts w:ascii="仿宋_GB2312"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14</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noWrap w:val="0"/>
            <w:vAlign w:val="center"/>
          </w:tcPr>
          <w:p>
            <w:pPr>
              <w:rPr>
                <w:rFonts w:hint="eastAsia" w:ascii="仿宋_GB2312" w:eastAsia="仿宋_GB2312"/>
                <w:sz w:val="18"/>
                <w:szCs w:val="18"/>
                <w:lang w:eastAsia="zh-CN"/>
              </w:rPr>
            </w:pPr>
            <w:r>
              <w:rPr>
                <w:rFonts w:hint="eastAsia" w:ascii="仿宋_GB2312" w:eastAsia="仿宋_GB2312"/>
                <w:sz w:val="18"/>
                <w:szCs w:val="18"/>
              </w:rPr>
              <w:t>采购项目的预算金额以财政部门批复的部门预算中的政府采购预算为依据</w:t>
            </w:r>
            <w:r>
              <w:rPr>
                <w:rFonts w:hint="eastAsia" w:ascii="仿宋_GB2312" w:eastAsia="仿宋_GB2312"/>
                <w:sz w:val="18"/>
                <w:szCs w:val="18"/>
                <w:lang w:eastAsia="zh-CN"/>
              </w:rPr>
              <w:t>。</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15</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w:t>
            </w:r>
          </w:p>
          <w:p>
            <w:pPr>
              <w:rPr>
                <w:rFonts w:hint="eastAsia" w:ascii="仿宋_GB2312" w:eastAsia="仿宋_GB2312"/>
                <w:sz w:val="18"/>
                <w:szCs w:val="18"/>
              </w:rPr>
            </w:pPr>
            <w:r>
              <w:rPr>
                <w:rFonts w:hint="eastAsia" w:ascii="仿宋_GB2312" w:eastAsia="仿宋_GB2312"/>
                <w:sz w:val="18"/>
                <w:szCs w:val="18"/>
              </w:rPr>
              <w:t>文件</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w:t>
            </w:r>
            <w:r>
              <w:rPr>
                <w:rFonts w:hint="eastAsia" w:ascii="仿宋_GB2312" w:eastAsia="仿宋_GB2312"/>
                <w:sz w:val="18"/>
                <w:szCs w:val="18"/>
                <w:lang w:eastAsia="zh-CN"/>
              </w:rPr>
              <w:t>公告</w:t>
            </w:r>
            <w:r>
              <w:rPr>
                <w:rFonts w:hint="eastAsia" w:ascii="仿宋_GB2312" w:eastAsia="仿宋_GB2312"/>
                <w:sz w:val="18"/>
                <w:szCs w:val="18"/>
              </w:rPr>
              <w:t>。</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随</w:t>
            </w:r>
            <w:r>
              <w:rPr>
                <w:rFonts w:hint="eastAsia" w:ascii="仿宋_GB2312" w:eastAsia="仿宋_GB2312"/>
                <w:sz w:val="18"/>
                <w:szCs w:val="18"/>
                <w:lang w:eastAsia="zh-CN"/>
              </w:rPr>
              <w:t>采购公告、采购文件公开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w:t>
            </w:r>
          </w:p>
          <w:p>
            <w:pPr>
              <w:rPr>
                <w:rFonts w:hint="eastAsia" w:ascii="仿宋_GB2312" w:eastAsia="仿宋_GB2312"/>
                <w:sz w:val="18"/>
                <w:szCs w:val="18"/>
              </w:rPr>
            </w:pPr>
            <w:r>
              <w:rPr>
                <w:rFonts w:hint="eastAsia" w:ascii="仿宋_GB2312" w:eastAsia="仿宋_GB2312"/>
                <w:sz w:val="18"/>
                <w:szCs w:val="18"/>
              </w:rPr>
              <w:t>信息</w:t>
            </w:r>
          </w:p>
          <w:p>
            <w:pPr>
              <w:rPr>
                <w:rFonts w:hint="eastAsia" w:ascii="仿宋_GB2312" w:eastAsia="仿宋_GB2312"/>
                <w:sz w:val="18"/>
                <w:szCs w:val="18"/>
              </w:rPr>
            </w:pPr>
            <w:r>
              <w:rPr>
                <w:rFonts w:hint="eastAsia" w:ascii="仿宋_GB2312" w:eastAsia="仿宋_GB2312"/>
                <w:sz w:val="18"/>
                <w:szCs w:val="18"/>
              </w:rPr>
              <w:t>更正</w:t>
            </w:r>
          </w:p>
          <w:p>
            <w:pPr>
              <w:rPr>
                <w:rFonts w:hint="eastAsia" w:ascii="仿宋_GB2312" w:eastAsia="仿宋_GB2312"/>
                <w:sz w:val="18"/>
                <w:szCs w:val="18"/>
              </w:rPr>
            </w:pPr>
            <w:r>
              <w:rPr>
                <w:rFonts w:hint="eastAsia" w:ascii="仿宋_GB2312" w:eastAsia="仿宋_GB2312"/>
                <w:sz w:val="18"/>
                <w:szCs w:val="18"/>
              </w:rPr>
              <w:t>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投标截止时间至少15日前、或者提交首次响应文件截止之日3个工作日前</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单一</w:t>
            </w:r>
          </w:p>
          <w:p>
            <w:pPr>
              <w:rPr>
                <w:rFonts w:hint="eastAsia" w:ascii="仿宋_GB2312" w:eastAsia="仿宋_GB2312"/>
                <w:sz w:val="18"/>
                <w:szCs w:val="18"/>
              </w:rPr>
            </w:pPr>
            <w:r>
              <w:rPr>
                <w:rFonts w:hint="eastAsia" w:ascii="仿宋_GB2312" w:eastAsia="仿宋_GB2312"/>
                <w:sz w:val="18"/>
                <w:szCs w:val="18"/>
              </w:rPr>
              <w:t>来源</w:t>
            </w:r>
          </w:p>
          <w:p>
            <w:pPr>
              <w:rPr>
                <w:rFonts w:hint="eastAsia" w:ascii="仿宋_GB2312" w:eastAsia="仿宋_GB2312"/>
                <w:sz w:val="18"/>
                <w:szCs w:val="18"/>
              </w:rPr>
            </w:pPr>
            <w:r>
              <w:rPr>
                <w:rFonts w:hint="eastAsia" w:ascii="仿宋_GB2312" w:eastAsia="仿宋_GB2312"/>
                <w:sz w:val="18"/>
                <w:szCs w:val="18"/>
              </w:rPr>
              <w:t>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8</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中标、成交</w:t>
            </w:r>
          </w:p>
          <w:p>
            <w:pPr>
              <w:rPr>
                <w:rFonts w:hint="eastAsia" w:ascii="仿宋_GB2312" w:eastAsia="仿宋_GB2312"/>
                <w:sz w:val="18"/>
                <w:szCs w:val="18"/>
              </w:rPr>
            </w:pPr>
            <w:r>
              <w:rPr>
                <w:rFonts w:hint="eastAsia" w:ascii="仿宋_GB2312" w:eastAsia="仿宋_GB2312"/>
                <w:sz w:val="18"/>
                <w:szCs w:val="18"/>
              </w:rPr>
              <w:t>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20</w:t>
            </w:r>
          </w:p>
          <w:p>
            <w:pPr>
              <w:jc w:val="center"/>
              <w:rPr>
                <w:rFonts w:hint="eastAsia" w:ascii="仿宋_GB2312" w:eastAsia="仿宋_GB2312"/>
                <w:sz w:val="18"/>
                <w:szCs w:val="18"/>
                <w:lang w:val="en-US" w:eastAsia="zh-CN"/>
              </w:rPr>
            </w:pP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采购</w:t>
            </w:r>
          </w:p>
          <w:p>
            <w:pPr>
              <w:rPr>
                <w:rFonts w:hint="eastAsia" w:ascii="仿宋_GB2312" w:eastAsia="仿宋_GB2312"/>
                <w:sz w:val="18"/>
                <w:szCs w:val="18"/>
              </w:rPr>
            </w:pPr>
            <w:r>
              <w:rPr>
                <w:rFonts w:hint="eastAsia" w:ascii="仿宋_GB2312" w:eastAsia="仿宋_GB2312"/>
                <w:sz w:val="18"/>
                <w:szCs w:val="18"/>
              </w:rPr>
              <w:t>合同</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noWrap w:val="0"/>
            <w:vAlign w:val="center"/>
          </w:tcPr>
          <w:p>
            <w:pPr>
              <w:spacing w:line="240" w:lineRule="exact"/>
              <w:rPr>
                <w:rFonts w:ascii="仿宋_GB2312"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23</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noWrap w:val="0"/>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24</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县财政局</w:t>
            </w:r>
          </w:p>
        </w:tc>
        <w:tc>
          <w:tcPr>
            <w:tcW w:w="1856" w:type="dxa"/>
            <w:vMerge w:val="restart"/>
            <w:noWrap w:val="0"/>
            <w:vAlign w:val="center"/>
          </w:tcPr>
          <w:p>
            <w:pPr>
              <w:spacing w:line="240" w:lineRule="exact"/>
              <w:rPr>
                <w:rFonts w:ascii="仿宋_GB2312"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25</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lang w:eastAsia="zh-CN"/>
              </w:rPr>
              <w:t>县财政局</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26</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土地</w:t>
            </w:r>
          </w:p>
          <w:p>
            <w:pPr>
              <w:rPr>
                <w:rFonts w:hint="eastAsia" w:ascii="仿宋_GB2312" w:eastAsia="仿宋_GB2312"/>
                <w:sz w:val="18"/>
                <w:szCs w:val="18"/>
              </w:rPr>
            </w:pPr>
            <w:r>
              <w:rPr>
                <w:rFonts w:hint="eastAsia" w:ascii="仿宋_GB2312" w:eastAsia="仿宋_GB2312"/>
                <w:sz w:val="18"/>
                <w:szCs w:val="18"/>
              </w:rPr>
              <w:t>出让</w:t>
            </w:r>
          </w:p>
          <w:p>
            <w:pPr>
              <w:rPr>
                <w:rFonts w:hint="eastAsia" w:ascii="仿宋_GB2312" w:eastAsia="仿宋_GB2312"/>
                <w:sz w:val="18"/>
                <w:szCs w:val="18"/>
              </w:rPr>
            </w:pPr>
            <w:r>
              <w:rPr>
                <w:rFonts w:hint="eastAsia" w:ascii="仿宋_GB2312" w:eastAsia="仿宋_GB2312"/>
                <w:sz w:val="18"/>
                <w:szCs w:val="18"/>
              </w:rPr>
              <w:t>计划</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县自然资源局</w:t>
            </w:r>
          </w:p>
        </w:tc>
        <w:tc>
          <w:tcPr>
            <w:tcW w:w="1856" w:type="dxa"/>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27</w:t>
            </w:r>
          </w:p>
          <w:p>
            <w:pPr>
              <w:jc w:val="center"/>
              <w:rPr>
                <w:rFonts w:hint="eastAsia" w:ascii="仿宋_GB2312" w:eastAsia="仿宋_GB2312"/>
                <w:sz w:val="18"/>
                <w:szCs w:val="18"/>
                <w:lang w:val="en-US" w:eastAsia="zh-CN"/>
              </w:rPr>
            </w:pP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w:t>
            </w:r>
          </w:p>
          <w:p>
            <w:pPr>
              <w:rPr>
                <w:rFonts w:hint="eastAsia" w:ascii="仿宋_GB2312" w:eastAsia="仿宋_GB2312"/>
                <w:sz w:val="18"/>
                <w:szCs w:val="18"/>
              </w:rPr>
            </w:pPr>
            <w:r>
              <w:rPr>
                <w:rFonts w:hint="eastAsia" w:ascii="仿宋_GB2312" w:eastAsia="仿宋_GB2312"/>
                <w:sz w:val="18"/>
                <w:szCs w:val="18"/>
              </w:rPr>
              <w:t>拍卖</w:t>
            </w:r>
          </w:p>
          <w:p>
            <w:pPr>
              <w:rPr>
                <w:rFonts w:hint="eastAsia" w:ascii="仿宋_GB2312" w:eastAsia="仿宋_GB2312"/>
                <w:sz w:val="18"/>
                <w:szCs w:val="18"/>
              </w:rPr>
            </w:pPr>
            <w:r>
              <w:rPr>
                <w:rFonts w:hint="eastAsia" w:ascii="仿宋_GB2312" w:eastAsia="仿宋_GB2312"/>
                <w:sz w:val="18"/>
                <w:szCs w:val="18"/>
              </w:rPr>
              <w:t>挂牌</w:t>
            </w:r>
          </w:p>
          <w:p>
            <w:pPr>
              <w:rPr>
                <w:rFonts w:hint="eastAsia" w:ascii="仿宋_GB2312" w:eastAsia="仿宋_GB2312"/>
                <w:sz w:val="18"/>
                <w:szCs w:val="18"/>
              </w:rPr>
            </w:pPr>
            <w:r>
              <w:rPr>
                <w:rFonts w:hint="eastAsia" w:ascii="仿宋_GB2312" w:eastAsia="仿宋_GB2312"/>
                <w:sz w:val="18"/>
                <w:szCs w:val="18"/>
              </w:rPr>
              <w:t>出让</w:t>
            </w:r>
          </w:p>
          <w:p>
            <w:pPr>
              <w:rPr>
                <w:rFonts w:hint="eastAsia" w:ascii="仿宋_GB2312" w:eastAsia="仿宋_GB2312"/>
                <w:sz w:val="18"/>
                <w:szCs w:val="18"/>
              </w:rPr>
            </w:pPr>
            <w:r>
              <w:rPr>
                <w:rFonts w:hint="eastAsia" w:ascii="仿宋_GB2312" w:eastAsia="仿宋_GB2312"/>
                <w:sz w:val="18"/>
                <w:szCs w:val="18"/>
              </w:rPr>
              <w:t>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28</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公告</w:t>
            </w:r>
          </w:p>
          <w:p>
            <w:pPr>
              <w:rPr>
                <w:rFonts w:hint="eastAsia" w:ascii="仿宋_GB2312" w:eastAsia="仿宋_GB2312"/>
                <w:sz w:val="18"/>
                <w:szCs w:val="18"/>
              </w:rPr>
            </w:pPr>
            <w:r>
              <w:rPr>
                <w:rFonts w:hint="eastAsia" w:ascii="仿宋_GB2312" w:eastAsia="仿宋_GB2312"/>
                <w:sz w:val="18"/>
                <w:szCs w:val="18"/>
              </w:rPr>
              <w:t>调整</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color w:val="auto"/>
                <w:sz w:val="18"/>
                <w:szCs w:val="18"/>
                <w:lang w:val="en-US" w:eastAsia="zh-CN"/>
              </w:rPr>
            </w:pPr>
            <w:r>
              <w:rPr>
                <w:rFonts w:hint="eastAsia" w:ascii="仿宋_GB2312" w:eastAsia="仿宋_GB2312"/>
                <w:color w:val="auto"/>
                <w:sz w:val="18"/>
                <w:szCs w:val="18"/>
                <w:lang w:val="en-US" w:eastAsia="zh-CN"/>
              </w:rPr>
              <w:t>29</w:t>
            </w:r>
          </w:p>
          <w:p>
            <w:pPr>
              <w:jc w:val="center"/>
              <w:rPr>
                <w:rFonts w:hint="eastAsia" w:ascii="仿宋_GB2312" w:eastAsia="仿宋_GB2312"/>
                <w:sz w:val="18"/>
                <w:szCs w:val="18"/>
                <w:lang w:val="en-US" w:eastAsia="zh-CN"/>
              </w:rPr>
            </w:pP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供应</w:t>
            </w:r>
          </w:p>
          <w:p>
            <w:pPr>
              <w:rPr>
                <w:rFonts w:hint="eastAsia" w:ascii="仿宋_GB2312" w:eastAsia="仿宋_GB2312"/>
                <w:sz w:val="18"/>
                <w:szCs w:val="18"/>
              </w:rPr>
            </w:pPr>
            <w:r>
              <w:rPr>
                <w:rFonts w:hint="eastAsia" w:ascii="仿宋_GB2312" w:eastAsia="仿宋_GB2312"/>
                <w:sz w:val="18"/>
                <w:szCs w:val="18"/>
              </w:rPr>
              <w:t>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lang w:eastAsia="zh-CN"/>
              </w:rPr>
              <w:t>县自然资源局</w:t>
            </w:r>
          </w:p>
        </w:tc>
        <w:tc>
          <w:tcPr>
            <w:tcW w:w="1856" w:type="dxa"/>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31</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lang w:eastAsia="zh-CN"/>
              </w:rPr>
              <w:t>县自然资源局</w:t>
            </w:r>
          </w:p>
        </w:tc>
        <w:tc>
          <w:tcPr>
            <w:tcW w:w="1856" w:type="dxa"/>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p>
          <w:p>
            <w:pPr>
              <w:rPr>
                <w:rFonts w:hint="eastAsia" w:ascii="仿宋_GB2312" w:eastAsia="仿宋_GB2312"/>
                <w:sz w:val="18"/>
                <w:szCs w:val="18"/>
                <w:lang w:val="en-US"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自然资源部门户网站</w:t>
            </w:r>
          </w:p>
          <w:p>
            <w:pPr>
              <w:rPr>
                <w:rFonts w:ascii="仿宋_GB2312"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2</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w:t>
            </w:r>
            <w:r>
              <w:rPr>
                <w:rFonts w:hint="eastAsia" w:ascii="仿宋_GB2312" w:eastAsia="仿宋_GB2312"/>
                <w:sz w:val="18"/>
                <w:szCs w:val="18"/>
              </w:rPr>
              <w:t>自然资源</w:t>
            </w:r>
            <w:r>
              <w:rPr>
                <w:rFonts w:hint="eastAsia" w:ascii="仿宋_GB2312" w:eastAsia="仿宋_GB2312"/>
                <w:sz w:val="18"/>
                <w:szCs w:val="18"/>
                <w:lang w:eastAsia="zh-CN"/>
              </w:rPr>
              <w:t>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3</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审批结果信息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34</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项目信息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noWrap w:val="0"/>
            <w:vAlign w:val="center"/>
          </w:tcPr>
          <w:p>
            <w:pPr>
              <w:rPr>
                <w:rFonts w:ascii="仿宋_GB2312" w:eastAsia="仿宋_GB2312"/>
                <w:sz w:val="18"/>
                <w:szCs w:val="18"/>
              </w:rPr>
            </w:pPr>
            <w:r>
              <w:rPr>
                <w:rFonts w:hint="eastAsia" w:ascii="仿宋_GB2312" w:eastAsia="仿宋_GB2312"/>
                <w:sz w:val="18"/>
                <w:szCs w:val="18"/>
                <w:lang w:eastAsia="zh-CN"/>
              </w:rPr>
              <w:t>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35</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36</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37</w:t>
            </w:r>
          </w:p>
        </w:tc>
        <w:tc>
          <w:tcPr>
            <w:tcW w:w="900" w:type="dxa"/>
            <w:vMerge w:val="continue"/>
            <w:noWrap w:val="0"/>
            <w:vAlign w:val="center"/>
          </w:tcPr>
          <w:p>
            <w:pP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8</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39</w:t>
            </w:r>
          </w:p>
          <w:p>
            <w:pPr>
              <w:jc w:val="center"/>
              <w:rPr>
                <w:rFonts w:hint="eastAsia" w:ascii="仿宋_GB2312" w:eastAsia="仿宋_GB2312"/>
                <w:sz w:val="18"/>
                <w:szCs w:val="18"/>
                <w:lang w:val="en-US" w:eastAsia="zh-CN"/>
              </w:rPr>
            </w:pPr>
          </w:p>
        </w:tc>
        <w:tc>
          <w:tcPr>
            <w:tcW w:w="900" w:type="dxa"/>
            <w:vMerge w:val="continue"/>
            <w:noWrap w:val="0"/>
            <w:vAlign w:val="center"/>
          </w:tcPr>
          <w:p>
            <w:pP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8F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2021-01-10T07:13:05Z</dcterms:created>
  <dc:creator>Administrator</dc:creator>
  <cp:lastModifiedBy>于龙</cp:lastModifiedBy>
  <dcterms:modified xsi:type="dcterms:W3CDTF">2021-01-10T07:13:44Z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