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147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602C5CB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14:paraId="52BB15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废止的行政规范性文件目录</w:t>
      </w:r>
    </w:p>
    <w:p w14:paraId="341347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10020" w:type="dxa"/>
        <w:tblInd w:w="-4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4110"/>
        <w:gridCol w:w="2280"/>
        <w:gridCol w:w="2760"/>
      </w:tblGrid>
      <w:tr w14:paraId="75F7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0A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F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方正县人民政府印发关于进一步加快方正县社会信用体系建设实施方案的通知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9B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14:paraId="5C5572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2017</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D8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县市场监督管理局</w:t>
            </w:r>
          </w:p>
        </w:tc>
      </w:tr>
      <w:tr w14:paraId="0192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8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63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方正县人民政府关于在蚂蚁河沿岸部分区域实施退耕还草的通告</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2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14:paraId="7A538B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2019</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2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天门乡人民政府</w:t>
            </w:r>
          </w:p>
        </w:tc>
      </w:tr>
      <w:tr w14:paraId="189D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A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C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方正县人民政府关于印发方正县扶持农业特色产业发展指导意见（试行）的通知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93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14:paraId="0C96FD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2022</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03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县农业农村局</w:t>
            </w:r>
          </w:p>
        </w:tc>
      </w:tr>
      <w:tr w14:paraId="6C72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1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E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年森林草原防火命令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6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14:paraId="67963D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AC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县应急管理局</w:t>
            </w:r>
          </w:p>
        </w:tc>
      </w:tr>
      <w:tr w14:paraId="6B8E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7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4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w:t>
            </w:r>
            <w:r>
              <w:rPr>
                <w:rFonts w:hint="default" w:ascii="仿宋_GB2312" w:hAnsi="仿宋_GB2312" w:eastAsia="仿宋_GB2312" w:cs="仿宋_GB2312"/>
                <w:i w:val="0"/>
                <w:iCs w:val="0"/>
                <w:color w:val="000000"/>
                <w:kern w:val="0"/>
                <w:sz w:val="30"/>
                <w:szCs w:val="30"/>
                <w:u w:val="none"/>
                <w:lang w:val="en-US" w:eastAsia="zh-CN" w:bidi="ar"/>
              </w:rPr>
              <w:t>2024</w:t>
            </w:r>
            <w:r>
              <w:rPr>
                <w:rFonts w:hint="eastAsia" w:ascii="仿宋_GB2312" w:hAnsi="仿宋_GB2312" w:eastAsia="仿宋_GB2312" w:cs="仿宋_GB2312"/>
                <w:i w:val="0"/>
                <w:iCs w:val="0"/>
                <w:color w:val="000000"/>
                <w:kern w:val="0"/>
                <w:sz w:val="30"/>
                <w:szCs w:val="30"/>
                <w:u w:val="none"/>
                <w:lang w:val="en-US" w:eastAsia="zh-CN" w:bidi="ar"/>
              </w:rPr>
              <w:t>年森林草原防火命令</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1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14:paraId="148DA1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2024</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90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县应急管理局</w:t>
            </w:r>
          </w:p>
        </w:tc>
      </w:tr>
      <w:tr w14:paraId="1C74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7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1C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方正县人民政府办公室关于印发方正县学生校外托管机构管理办法的通知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2B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14:paraId="0D4C98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2018</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9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县教育局</w:t>
            </w:r>
          </w:p>
        </w:tc>
      </w:tr>
      <w:tr w14:paraId="03E1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6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46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方正县人民政府办公室关于印发方正县畜禽养殖废弃物资源化利用工作方案的通知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6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14:paraId="050CA7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2018</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5</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2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县畜牧总站</w:t>
            </w:r>
          </w:p>
        </w:tc>
      </w:tr>
      <w:tr w14:paraId="1B48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EE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1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年度秸秆综合利用工作实施方案（暂行）的通知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7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14:paraId="3F117C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4</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3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县农业农村局</w:t>
            </w:r>
          </w:p>
        </w:tc>
      </w:tr>
    </w:tbl>
    <w:p w14:paraId="373DAC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2B7AEA8C"/>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47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A39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7A39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471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2E0BE">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22E0BE">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033B6"/>
    <w:rsid w:val="1360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2025-01-06T08:52:00Z</dcterms:created>
  <dc:creator>企业用户_1130514203</dc:creator>
  <cp:lastModifiedBy>企业用户_1130514203</cp:lastModifiedBy>
  <dcterms:modified xsi:type="dcterms:W3CDTF">2025-01-06T08:53:49Z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D45C32B38B3640B0BF9D1E9F0AD32029_11</vt:lpwstr>
  </property>
  <property fmtid="{D5CDD505-2E9C-101B-9397-08002B2CF9AE}" pid="4" name="KSOTemplateDocerSaveRecord">
    <vt:lpwstr>eyJoZGlkIjoiOGQ2YjAzMTA3NTE5MzdiM2FkZDU2YmU0Mzk4OGUxOTkiLCJ1c2VySWQiOiIxNjU2MTY4MTU4In0=</vt:lpwstr>
  </property>
</Properties>
</file>